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E9" w:rsidRPr="00EE774A" w:rsidRDefault="00CA7BE9" w:rsidP="00CA7BE9">
      <w:pPr>
        <w:jc w:val="center"/>
        <w:rPr>
          <w:b/>
          <w:color w:val="000000"/>
          <w:sz w:val="32"/>
          <w:szCs w:val="32"/>
        </w:rPr>
      </w:pPr>
      <w:r w:rsidRPr="00EE774A">
        <w:rPr>
          <w:rFonts w:hint="eastAsia"/>
          <w:b/>
          <w:color w:val="000000"/>
          <w:sz w:val="32"/>
          <w:szCs w:val="32"/>
        </w:rPr>
        <w:t>“乾元—日</w:t>
      </w:r>
      <w:proofErr w:type="gramStart"/>
      <w:r w:rsidRPr="00EE774A">
        <w:rPr>
          <w:rFonts w:hint="eastAsia"/>
          <w:b/>
          <w:color w:val="000000"/>
          <w:sz w:val="32"/>
          <w:szCs w:val="32"/>
        </w:rPr>
        <w:t>鑫</w:t>
      </w:r>
      <w:proofErr w:type="gramEnd"/>
      <w:r w:rsidRPr="00EE774A">
        <w:rPr>
          <w:rFonts w:hint="eastAsia"/>
          <w:b/>
          <w:color w:val="000000"/>
          <w:sz w:val="32"/>
          <w:szCs w:val="32"/>
        </w:rPr>
        <w:t>月溢”（按日）开放式资产组合型人民币理财产品月度投资管理报告</w:t>
      </w:r>
    </w:p>
    <w:p w:rsidR="00CA7BE9" w:rsidRPr="00EE774A" w:rsidRDefault="00CA7BE9" w:rsidP="00CA7BE9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>5</w:t>
      </w:r>
      <w:r w:rsidRPr="00EE774A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>31</w:t>
      </w:r>
      <w:r w:rsidRPr="00EE774A">
        <w:rPr>
          <w:rFonts w:ascii="宋体" w:hAnsi="宋体" w:hint="eastAsia"/>
          <w:color w:val="000000"/>
          <w:szCs w:val="21"/>
        </w:rPr>
        <w:t>日</w:t>
      </w:r>
    </w:p>
    <w:p w:rsidR="00CA7BE9" w:rsidRPr="0035334D" w:rsidRDefault="00CA7BE9" w:rsidP="00CA7BE9">
      <w:pPr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 xml:space="preserve">   “乾元-日</w:t>
      </w:r>
      <w:proofErr w:type="gramStart"/>
      <w:r w:rsidRPr="00EE774A">
        <w:rPr>
          <w:rFonts w:ascii="宋体" w:hAnsi="宋体" w:hint="eastAsia"/>
          <w:color w:val="000000"/>
          <w:sz w:val="28"/>
          <w:szCs w:val="28"/>
        </w:rPr>
        <w:t>鑫</w:t>
      </w:r>
      <w:proofErr w:type="gramEnd"/>
      <w:r w:rsidRPr="00EE774A">
        <w:rPr>
          <w:rFonts w:ascii="宋体" w:hAnsi="宋体" w:hint="eastAsia"/>
          <w:color w:val="000000"/>
          <w:sz w:val="28"/>
          <w:szCs w:val="28"/>
        </w:rPr>
        <w:t>月溢”（按日）开放式资产组合型人民币理财产品于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3"/>
          <w:attr w:name="Year" w:val="2011"/>
        </w:smartTagPr>
        <w:r w:rsidRPr="00EE774A">
          <w:rPr>
            <w:rFonts w:ascii="宋体" w:hAnsi="宋体" w:hint="eastAsia"/>
            <w:color w:val="000000"/>
            <w:sz w:val="28"/>
            <w:szCs w:val="28"/>
          </w:rPr>
          <w:t>2011年3月17日</w:t>
        </w:r>
      </w:smartTag>
      <w:r w:rsidRPr="00EE774A">
        <w:rPr>
          <w:rFonts w:ascii="宋体" w:hAnsi="宋体" w:hint="eastAsia"/>
          <w:color w:val="000000"/>
          <w:sz w:val="28"/>
          <w:szCs w:val="28"/>
        </w:rPr>
        <w:t>正式成立。截至报告日，本产品规模为</w:t>
      </w:r>
      <w:r w:rsidRPr="00EE774A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</w:t>
      </w:r>
      <w:r w:rsidRPr="00000D4B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5D1270"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 w:rsidRPr="00440482">
        <w:rPr>
          <w:rFonts w:ascii="宋体" w:hAnsi="宋体" w:cs="宋体" w:hint="eastAsia"/>
          <w:kern w:val="0"/>
          <w:sz w:val="24"/>
          <w:szCs w:val="24"/>
        </w:rPr>
        <w:t xml:space="preserve">     </w:t>
      </w:r>
      <w:r w:rsidRPr="005E4CAF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Pr="00D91744"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Pr="006D0EDB">
        <w:rPr>
          <w:rFonts w:ascii="宋体" w:hAnsi="宋体"/>
          <w:sz w:val="28"/>
          <w:szCs w:val="28"/>
        </w:rPr>
        <w:t>169,582,516,605.26</w:t>
      </w:r>
      <w:r w:rsidRPr="00EE774A">
        <w:rPr>
          <w:rFonts w:ascii="宋体" w:hAnsi="宋体" w:hint="eastAsia"/>
          <w:color w:val="000000"/>
          <w:sz w:val="28"/>
          <w:szCs w:val="28"/>
        </w:rPr>
        <w:t>元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CA7BE9" w:rsidRPr="00EE774A" w:rsidRDefault="00CA7BE9" w:rsidP="00CA7BE9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CA7BE9" w:rsidRPr="009C7E87" w:rsidRDefault="00CA7BE9" w:rsidP="00CA7BE9">
      <w:pPr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2017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2017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9527" w:type="dxa"/>
        <w:jc w:val="center"/>
        <w:tblInd w:w="-1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9"/>
        <w:gridCol w:w="1276"/>
        <w:gridCol w:w="1275"/>
        <w:gridCol w:w="1276"/>
        <w:gridCol w:w="1134"/>
        <w:gridCol w:w="1276"/>
        <w:gridCol w:w="1261"/>
      </w:tblGrid>
      <w:tr w:rsidR="00CA7BE9" w:rsidRPr="009C7E87" w:rsidTr="00E2498E">
        <w:trPr>
          <w:trHeight w:val="473"/>
          <w:jc w:val="center"/>
        </w:trPr>
        <w:tc>
          <w:tcPr>
            <w:tcW w:w="2029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1276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1≤T&lt;30</w:t>
            </w:r>
          </w:p>
        </w:tc>
        <w:tc>
          <w:tcPr>
            <w:tcW w:w="1275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30≤T&lt;60</w:t>
            </w:r>
          </w:p>
        </w:tc>
        <w:tc>
          <w:tcPr>
            <w:tcW w:w="1276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60≤T&lt;90</w:t>
            </w:r>
          </w:p>
        </w:tc>
        <w:tc>
          <w:tcPr>
            <w:tcW w:w="1134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90≤T&lt;180</w:t>
            </w:r>
          </w:p>
        </w:tc>
        <w:tc>
          <w:tcPr>
            <w:tcW w:w="1276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180≤T&lt;365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E9" w:rsidRPr="009C7E87" w:rsidRDefault="00CA7BE9" w:rsidP="00E2498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T≥365</w:t>
            </w:r>
          </w:p>
        </w:tc>
      </w:tr>
      <w:tr w:rsidR="00CA7BE9" w:rsidRPr="009C7E87" w:rsidTr="00E2498E">
        <w:trPr>
          <w:trHeight w:val="778"/>
          <w:jc w:val="center"/>
        </w:trPr>
        <w:tc>
          <w:tcPr>
            <w:tcW w:w="2029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1276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/>
                <w:color w:val="000000"/>
                <w:szCs w:val="21"/>
              </w:rPr>
              <w:t>2.10%</w:t>
            </w:r>
          </w:p>
        </w:tc>
        <w:tc>
          <w:tcPr>
            <w:tcW w:w="1275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/>
                <w:color w:val="000000"/>
                <w:szCs w:val="21"/>
              </w:rPr>
              <w:t>2.45%</w:t>
            </w:r>
          </w:p>
        </w:tc>
        <w:tc>
          <w:tcPr>
            <w:tcW w:w="1276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3.00%</w:t>
            </w:r>
          </w:p>
        </w:tc>
        <w:tc>
          <w:tcPr>
            <w:tcW w:w="1134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3.20%</w:t>
            </w:r>
          </w:p>
        </w:tc>
        <w:tc>
          <w:tcPr>
            <w:tcW w:w="1276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3.45%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cs="宋体" w:hint="eastAsia"/>
                <w:color w:val="000000"/>
                <w:kern w:val="0"/>
                <w:szCs w:val="21"/>
              </w:rPr>
              <w:t>3.5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 w:rsidRPr="009C7E87">
              <w:rPr>
                <w:rFonts w:ascii="宋体" w:hAnsi="宋体" w:cs="宋体"/>
                <w:color w:val="000000"/>
                <w:kern w:val="0"/>
                <w:szCs w:val="21"/>
              </w:rPr>
              <w:t>%</w:t>
            </w:r>
          </w:p>
        </w:tc>
      </w:tr>
    </w:tbl>
    <w:p w:rsidR="00CA7BE9" w:rsidRDefault="00CA7BE9" w:rsidP="00CA7BE9">
      <w:pPr>
        <w:spacing w:line="480" w:lineRule="exact"/>
        <w:rPr>
          <w:rFonts w:ascii="宋体" w:hAnsi="宋体" w:hint="eastAsia"/>
          <w:color w:val="000000"/>
          <w:szCs w:val="21"/>
        </w:rPr>
      </w:pPr>
      <w:r w:rsidRPr="009C7E87">
        <w:rPr>
          <w:rFonts w:ascii="宋体" w:hAnsi="宋体" w:hint="eastAsia"/>
          <w:color w:val="000000"/>
          <w:szCs w:val="21"/>
        </w:rPr>
        <w:t>其中： T为投资期，单位：天</w:t>
      </w:r>
    </w:p>
    <w:p w:rsidR="00CA7BE9" w:rsidRPr="009C7E87" w:rsidRDefault="00CA7BE9" w:rsidP="00CA7BE9">
      <w:pPr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2017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8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2017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10361" w:type="dxa"/>
        <w:jc w:val="center"/>
        <w:tblInd w:w="-1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75"/>
        <w:gridCol w:w="1054"/>
        <w:gridCol w:w="1134"/>
        <w:gridCol w:w="993"/>
        <w:gridCol w:w="1134"/>
        <w:gridCol w:w="1134"/>
        <w:gridCol w:w="1134"/>
        <w:gridCol w:w="1184"/>
        <w:gridCol w:w="919"/>
      </w:tblGrid>
      <w:tr w:rsidR="00CA7BE9" w:rsidRPr="009C7E87" w:rsidTr="00E2498E">
        <w:trPr>
          <w:trHeight w:val="473"/>
          <w:jc w:val="center"/>
        </w:trPr>
        <w:tc>
          <w:tcPr>
            <w:tcW w:w="1675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1054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1≤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T&lt;7</w:t>
            </w:r>
          </w:p>
        </w:tc>
        <w:tc>
          <w:tcPr>
            <w:tcW w:w="1134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T&lt;14</w:t>
            </w:r>
          </w:p>
        </w:tc>
        <w:tc>
          <w:tcPr>
            <w:tcW w:w="993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T&lt;30</w:t>
            </w:r>
          </w:p>
        </w:tc>
        <w:tc>
          <w:tcPr>
            <w:tcW w:w="1134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30≤T&lt;60</w:t>
            </w:r>
          </w:p>
        </w:tc>
        <w:tc>
          <w:tcPr>
            <w:tcW w:w="1134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60≤T&lt;90</w:t>
            </w:r>
          </w:p>
        </w:tc>
        <w:tc>
          <w:tcPr>
            <w:tcW w:w="1134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90≤T&lt;180</w:t>
            </w:r>
          </w:p>
        </w:tc>
        <w:tc>
          <w:tcPr>
            <w:tcW w:w="1184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180≤T&lt;365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E9" w:rsidRPr="009C7E87" w:rsidRDefault="00CA7BE9" w:rsidP="00E2498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T≥365</w:t>
            </w:r>
          </w:p>
        </w:tc>
      </w:tr>
      <w:tr w:rsidR="00CA7BE9" w:rsidRPr="009C7E87" w:rsidTr="00E2498E">
        <w:trPr>
          <w:trHeight w:val="778"/>
          <w:jc w:val="center"/>
        </w:trPr>
        <w:tc>
          <w:tcPr>
            <w:tcW w:w="1675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1054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 w:rsidRPr="00A209D3">
              <w:rPr>
                <w:rFonts w:ascii="宋体" w:hAnsi="宋体"/>
                <w:color w:val="00000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2.4</w:t>
            </w:r>
            <w:r>
              <w:rPr>
                <w:rFonts w:ascii="宋体" w:hAnsi="宋体" w:hint="eastAsia"/>
                <w:color w:val="000000"/>
                <w:szCs w:val="21"/>
              </w:rPr>
              <w:t>0</w:t>
            </w:r>
            <w:r w:rsidRPr="00A209D3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993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2.50</w:t>
            </w: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3.00</w:t>
            </w:r>
            <w:r w:rsidRPr="00A209D3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84" w:type="dxa"/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%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E9" w:rsidRPr="009C7E87" w:rsidRDefault="00CA7BE9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  <w:r w:rsidRPr="009C7E87">
              <w:rPr>
                <w:rFonts w:ascii="宋体" w:hAnsi="宋体" w:cs="宋体"/>
                <w:color w:val="000000"/>
                <w:kern w:val="0"/>
                <w:szCs w:val="21"/>
              </w:rPr>
              <w:t>%</w:t>
            </w:r>
          </w:p>
        </w:tc>
      </w:tr>
    </w:tbl>
    <w:p w:rsidR="00CA7BE9" w:rsidRDefault="00CA7BE9" w:rsidP="00CA7BE9">
      <w:pPr>
        <w:spacing w:line="480" w:lineRule="exact"/>
        <w:rPr>
          <w:rFonts w:ascii="宋体" w:hAnsi="宋体" w:hint="eastAsia"/>
          <w:color w:val="000000"/>
          <w:szCs w:val="21"/>
        </w:rPr>
      </w:pPr>
      <w:r w:rsidRPr="009C7E87">
        <w:rPr>
          <w:rFonts w:ascii="宋体" w:hAnsi="宋体" w:hint="eastAsia"/>
          <w:color w:val="000000"/>
          <w:szCs w:val="21"/>
        </w:rPr>
        <w:t>其中： T为投资期，单位：天</w:t>
      </w:r>
    </w:p>
    <w:p w:rsidR="00CA7BE9" w:rsidRPr="00EE774A" w:rsidRDefault="00CA7BE9" w:rsidP="00CA7BE9">
      <w:pPr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CA7BE9" w:rsidRPr="00EE774A" w:rsidRDefault="00CA7BE9" w:rsidP="00CA7BE9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CA7BE9" w:rsidRPr="00EE774A" w:rsidRDefault="00CA7BE9" w:rsidP="00CA7BE9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CA7BE9" w:rsidRPr="00F7161F" w:rsidRDefault="00CA7BE9" w:rsidP="00CA7BE9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091697" cy="2566150"/>
            <wp:effectExtent l="6091" t="6101" r="7487" b="9024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A7BE9" w:rsidRPr="00EE774A" w:rsidRDefault="00CA7BE9" w:rsidP="00CA7BE9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CA7BE9" w:rsidRPr="0002419E" w:rsidRDefault="00CA7BE9" w:rsidP="00CA7BE9">
      <w:pPr>
        <w:jc w:val="center"/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4569976" cy="2252857"/>
            <wp:effectExtent l="6092" t="6094" r="5457" b="7999"/>
            <wp:docPr id="2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A7BE9" w:rsidRDefault="00CA7BE9" w:rsidP="00CA7BE9">
      <w:pPr>
        <w:spacing w:line="480" w:lineRule="exact"/>
        <w:ind w:firstLineChars="200" w:firstLine="562"/>
        <w:outlineLvl w:val="0"/>
        <w:rPr>
          <w:rFonts w:ascii="宋体" w:hAnsi="宋体" w:hint="eastAsia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EE774A">
        <w:rPr>
          <w:rFonts w:ascii="宋体" w:hAnsi="宋体"/>
          <w:b/>
          <w:color w:val="000000"/>
          <w:sz w:val="28"/>
          <w:szCs w:val="28"/>
        </w:rPr>
        <w:t>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EE774A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EE774A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CA7BE9" w:rsidRPr="00C82729" w:rsidRDefault="00CA7BE9" w:rsidP="00CA7BE9">
      <w:pPr>
        <w:ind w:right="560"/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265150" cy="3436220"/>
            <wp:effectExtent l="5850" t="5854" r="5850" b="5976"/>
            <wp:docPr id="3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A7BE9" w:rsidRPr="00EE774A" w:rsidRDefault="00CA7BE9" w:rsidP="00CA7BE9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（四）投资类资产的行业占</w:t>
      </w:r>
      <w:proofErr w:type="gramStart"/>
      <w:r w:rsidRPr="00EE774A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EE774A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CA7BE9" w:rsidRPr="00EE774A" w:rsidRDefault="00CA7BE9" w:rsidP="00CA7BE9">
      <w:pPr>
        <w:jc w:val="center"/>
        <w:rPr>
          <w:rFonts w:hint="eastAsia"/>
          <w:color w:val="000000"/>
        </w:rPr>
      </w:pP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ab/>
      </w:r>
      <w:r>
        <w:rPr>
          <w:noProof/>
        </w:rPr>
        <w:drawing>
          <wp:inline distT="0" distB="0" distL="0" distR="0">
            <wp:extent cx="5047353" cy="2339598"/>
            <wp:effectExtent l="6101" t="6094" r="4321" b="6983"/>
            <wp:docPr id="4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A7BE9" w:rsidRPr="00EE774A" w:rsidRDefault="00CA7BE9" w:rsidP="00CA7BE9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CA7BE9" w:rsidRPr="00EE774A" w:rsidRDefault="00CA7BE9" w:rsidP="00CA7BE9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CA7BE9" w:rsidRPr="00EE774A" w:rsidRDefault="00CA7BE9" w:rsidP="00CA7BE9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（2）截至本报告日，个别项目未能正常完全还本付息，但不影响按预期收益兑付客户。</w:t>
      </w:r>
    </w:p>
    <w:p w:rsidR="00CA7BE9" w:rsidRPr="00EE774A" w:rsidRDefault="00CA7BE9" w:rsidP="00CA7BE9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 xml:space="preserve">（3）本产品自成立至本报告日，没有发生涉诉及诉讼等损害投资者利益的情形。                             </w:t>
      </w:r>
    </w:p>
    <w:p w:rsidR="00CA7BE9" w:rsidRPr="00EE774A" w:rsidRDefault="00CA7BE9" w:rsidP="00CA7BE9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 xml:space="preserve">         </w:t>
      </w:r>
      <w:r>
        <w:rPr>
          <w:rFonts w:ascii="宋体" w:hAnsi="宋体" w:hint="eastAsia"/>
          <w:color w:val="000000"/>
          <w:sz w:val="28"/>
          <w:szCs w:val="28"/>
        </w:rPr>
        <w:t xml:space="preserve">                               </w:t>
      </w: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CA7BE9" w:rsidRDefault="00CA7BE9" w:rsidP="00CA7BE9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2017年6月7日</w:t>
      </w:r>
    </w:p>
    <w:p w:rsidR="00B93672" w:rsidRDefault="00CA7BE9" w:rsidP="00CA7BE9">
      <w:r>
        <w:rPr>
          <w:rFonts w:ascii="彩虹粗仿宋" w:eastAsia="彩虹粗仿宋"/>
          <w:b/>
          <w:color w:val="000000"/>
          <w:sz w:val="32"/>
          <w:szCs w:val="32"/>
        </w:rPr>
        <w:br w:type="page"/>
      </w:r>
    </w:p>
    <w:sectPr w:rsidR="00B93672" w:rsidSect="00B93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A7BE9"/>
    <w:rsid w:val="00B93672"/>
    <w:rsid w:val="00CA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7BE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A7BE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5&#26376;\5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5&#26376;\5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5&#26376;\5&#26376;&#27169;&#26495;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5&#26376;\5&#26376;&#27169;&#26495;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0.11063212871944521"/>
          <c:y val="0.10285646898318573"/>
          <c:w val="0.54533160446053575"/>
          <c:h val="0.77635071628867625"/>
        </c:manualLayout>
      </c:layout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'17年5月'!$A$57:$A$59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投资类及其他</c:v>
                </c:pt>
              </c:strCache>
            </c:strRef>
          </c:cat>
          <c:val>
            <c:numRef>
              <c:f>'17年5月'!$B$57:$B$59</c:f>
              <c:numCache>
                <c:formatCode>0.00%</c:formatCode>
                <c:ptCount val="3"/>
                <c:pt idx="0">
                  <c:v>0.33263484024228024</c:v>
                </c:pt>
                <c:pt idx="1">
                  <c:v>7.5793931589782135E-2</c:v>
                </c:pt>
                <c:pt idx="2">
                  <c:v>0.59157122816804852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r"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6.7414499323949023E-2"/>
          <c:y val="0.12749954992088083"/>
          <c:w val="0.62449790998347465"/>
          <c:h val="0.7655478512947137"/>
        </c:manualLayout>
      </c:layout>
      <c:pie3DChart>
        <c:varyColors val="1"/>
        <c:ser>
          <c:idx val="0"/>
          <c:order val="0"/>
          <c:tx>
            <c:strRef>
              <c:f>'17年5月'!$B$63</c:f>
              <c:strCache>
                <c:ptCount val="1"/>
                <c:pt idx="0">
                  <c:v>占比</c:v>
                </c:pt>
              </c:strCache>
            </c:strRef>
          </c:tx>
          <c:dLbls>
            <c:showVal val="1"/>
            <c:showLeaderLines val="1"/>
          </c:dLbls>
          <c:cat>
            <c:strRef>
              <c:f>'17年5月'!$A$64:$A$68</c:f>
              <c:strCache>
                <c:ptCount val="5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  <c:pt idx="3">
                  <c:v>AA-及以下</c:v>
                </c:pt>
                <c:pt idx="4">
                  <c:v>未评级</c:v>
                </c:pt>
              </c:strCache>
            </c:strRef>
          </c:cat>
          <c:val>
            <c:numRef>
              <c:f>'17年5月'!$B$64:$B$68</c:f>
              <c:numCache>
                <c:formatCode>0.00%</c:formatCode>
                <c:ptCount val="5"/>
                <c:pt idx="0">
                  <c:v>4.4426184799649521E-2</c:v>
                </c:pt>
                <c:pt idx="1">
                  <c:v>6.4360656123337148E-2</c:v>
                </c:pt>
                <c:pt idx="2">
                  <c:v>0.30004796404621636</c:v>
                </c:pt>
                <c:pt idx="3">
                  <c:v>0.44504429524577727</c:v>
                </c:pt>
                <c:pt idx="4">
                  <c:v>0.14612089978501985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852363117468665"/>
          <c:y val="0.11483088227231183"/>
          <c:w val="0.257759612109555"/>
          <c:h val="0.73149963492154424"/>
        </c:manualLayout>
      </c:layout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tx>
            <c:strRef>
              <c:f>'17年5月'!$B$72</c:f>
              <c:strCache>
                <c:ptCount val="1"/>
                <c:pt idx="0">
                  <c:v>5月各行业</c:v>
                </c:pt>
              </c:strCache>
            </c:strRef>
          </c:tx>
          <c:cat>
            <c:strRef>
              <c:f>'17年5月'!$A$73:$A$85</c:f>
              <c:strCache>
                <c:ptCount val="13"/>
                <c:pt idx="0">
                  <c:v>采矿业</c:v>
                </c:pt>
                <c:pt idx="1">
                  <c:v>电力、燃气及水的生产和供应业</c:v>
                </c:pt>
                <c:pt idx="2">
                  <c:v>房地产业</c:v>
                </c:pt>
                <c:pt idx="3">
                  <c:v>房地产业（保障房）</c:v>
                </c:pt>
                <c:pt idx="4">
                  <c:v>公共管理和社会组织</c:v>
                </c:pt>
                <c:pt idx="5">
                  <c:v>交通运输、仓储和邮政业</c:v>
                </c:pt>
                <c:pt idx="6">
                  <c:v>综合</c:v>
                </c:pt>
                <c:pt idx="7">
                  <c:v>农、林、牧、渔业</c:v>
                </c:pt>
                <c:pt idx="8">
                  <c:v>水利、环境和公共设施管理业</c:v>
                </c:pt>
                <c:pt idx="9">
                  <c:v>制造业</c:v>
                </c:pt>
                <c:pt idx="10">
                  <c:v>租赁和商务服务业</c:v>
                </c:pt>
                <c:pt idx="11">
                  <c:v>居民服务和其他服务业</c:v>
                </c:pt>
                <c:pt idx="12">
                  <c:v>金融业</c:v>
                </c:pt>
              </c:strCache>
            </c:strRef>
          </c:cat>
          <c:val>
            <c:numRef>
              <c:f>'17年5月'!$B$73:$B$85</c:f>
              <c:numCache>
                <c:formatCode>0.00%</c:formatCode>
                <c:ptCount val="13"/>
                <c:pt idx="0">
                  <c:v>0.22632659905066335</c:v>
                </c:pt>
                <c:pt idx="1">
                  <c:v>2.3546543389605688E-2</c:v>
                </c:pt>
                <c:pt idx="2">
                  <c:v>0.10939636307717426</c:v>
                </c:pt>
                <c:pt idx="3">
                  <c:v>2.1937773344353147E-2</c:v>
                </c:pt>
                <c:pt idx="4">
                  <c:v>1.4625182229568759E-2</c:v>
                </c:pt>
                <c:pt idx="5">
                  <c:v>5.1188137803490644E-2</c:v>
                </c:pt>
                <c:pt idx="6">
                  <c:v>1.9012736898439381E-2</c:v>
                </c:pt>
                <c:pt idx="7">
                  <c:v>1.974399600991782E-2</c:v>
                </c:pt>
                <c:pt idx="8">
                  <c:v>9.3601166269240074E-2</c:v>
                </c:pt>
                <c:pt idx="9">
                  <c:v>7.8985838352905874E-2</c:v>
                </c:pt>
                <c:pt idx="10">
                  <c:v>0.30510707717895885</c:v>
                </c:pt>
                <c:pt idx="11">
                  <c:v>0</c:v>
                </c:pt>
                <c:pt idx="12">
                  <c:v>3.6528586395682371E-2</c:v>
                </c:pt>
              </c:numCache>
            </c:numRef>
          </c:val>
        </c:ser>
        <c:ser>
          <c:idx val="1"/>
          <c:order val="1"/>
          <c:tx>
            <c:strRef>
              <c:f>'17年5月'!$C$72</c:f>
              <c:strCache>
                <c:ptCount val="1"/>
                <c:pt idx="0">
                  <c:v>4月各行业</c:v>
                </c:pt>
              </c:strCache>
            </c:strRef>
          </c:tx>
          <c:cat>
            <c:strRef>
              <c:f>'17年5月'!$A$73:$A$85</c:f>
              <c:strCache>
                <c:ptCount val="13"/>
                <c:pt idx="0">
                  <c:v>采矿业</c:v>
                </c:pt>
                <c:pt idx="1">
                  <c:v>电力、燃气及水的生产和供应业</c:v>
                </c:pt>
                <c:pt idx="2">
                  <c:v>房地产业</c:v>
                </c:pt>
                <c:pt idx="3">
                  <c:v>房地产业（保障房）</c:v>
                </c:pt>
                <c:pt idx="4">
                  <c:v>公共管理和社会组织</c:v>
                </c:pt>
                <c:pt idx="5">
                  <c:v>交通运输、仓储和邮政业</c:v>
                </c:pt>
                <c:pt idx="6">
                  <c:v>综合</c:v>
                </c:pt>
                <c:pt idx="7">
                  <c:v>农、林、牧、渔业</c:v>
                </c:pt>
                <c:pt idx="8">
                  <c:v>水利、环境和公共设施管理业</c:v>
                </c:pt>
                <c:pt idx="9">
                  <c:v>制造业</c:v>
                </c:pt>
                <c:pt idx="10">
                  <c:v>租赁和商务服务业</c:v>
                </c:pt>
                <c:pt idx="11">
                  <c:v>居民服务和其他服务业</c:v>
                </c:pt>
                <c:pt idx="12">
                  <c:v>金融业</c:v>
                </c:pt>
              </c:strCache>
            </c:strRef>
          </c:cat>
          <c:val>
            <c:numRef>
              <c:f>'17年5月'!$C$73:$C$85</c:f>
              <c:numCache>
                <c:formatCode>0.00%</c:formatCode>
                <c:ptCount val="13"/>
                <c:pt idx="0">
                  <c:v>0.12614726479383148</c:v>
                </c:pt>
                <c:pt idx="1">
                  <c:v>1.8013119751969321E-2</c:v>
                </c:pt>
                <c:pt idx="2">
                  <c:v>6.0967482237434645E-2</c:v>
                </c:pt>
                <c:pt idx="3">
                  <c:v>1.22260993791647E-2</c:v>
                </c:pt>
                <c:pt idx="4">
                  <c:v>9.8583114660664634E-2</c:v>
                </c:pt>
                <c:pt idx="5">
                  <c:v>4.8089324224714472E-2</c:v>
                </c:pt>
                <c:pt idx="6">
                  <c:v>7.3764132920960332E-2</c:v>
                </c:pt>
                <c:pt idx="7">
                  <c:v>1.426378260902548E-2</c:v>
                </c:pt>
                <c:pt idx="8">
                  <c:v>0.20173063975621749</c:v>
                </c:pt>
                <c:pt idx="9">
                  <c:v>5.2170182573290397E-2</c:v>
                </c:pt>
                <c:pt idx="10">
                  <c:v>0.27199508686240365</c:v>
                </c:pt>
                <c:pt idx="11">
                  <c:v>1.3899037310880401E-2</c:v>
                </c:pt>
                <c:pt idx="12">
                  <c:v>8.150732919443137E-3</c:v>
                </c:pt>
              </c:numCache>
            </c:numRef>
          </c:val>
        </c:ser>
        <c:ser>
          <c:idx val="2"/>
          <c:order val="2"/>
          <c:tx>
            <c:strRef>
              <c:f>'17年5月'!$D$72</c:f>
              <c:strCache>
                <c:ptCount val="1"/>
                <c:pt idx="0">
                  <c:v>行业变化</c:v>
                </c:pt>
              </c:strCache>
            </c:strRef>
          </c:tx>
          <c:cat>
            <c:strRef>
              <c:f>'17年5月'!$A$73:$A$85</c:f>
              <c:strCache>
                <c:ptCount val="13"/>
                <c:pt idx="0">
                  <c:v>采矿业</c:v>
                </c:pt>
                <c:pt idx="1">
                  <c:v>电力、燃气及水的生产和供应业</c:v>
                </c:pt>
                <c:pt idx="2">
                  <c:v>房地产业</c:v>
                </c:pt>
                <c:pt idx="3">
                  <c:v>房地产业（保障房）</c:v>
                </c:pt>
                <c:pt idx="4">
                  <c:v>公共管理和社会组织</c:v>
                </c:pt>
                <c:pt idx="5">
                  <c:v>交通运输、仓储和邮政业</c:v>
                </c:pt>
                <c:pt idx="6">
                  <c:v>综合</c:v>
                </c:pt>
                <c:pt idx="7">
                  <c:v>农、林、牧、渔业</c:v>
                </c:pt>
                <c:pt idx="8">
                  <c:v>水利、环境和公共设施管理业</c:v>
                </c:pt>
                <c:pt idx="9">
                  <c:v>制造业</c:v>
                </c:pt>
                <c:pt idx="10">
                  <c:v>租赁和商务服务业</c:v>
                </c:pt>
                <c:pt idx="11">
                  <c:v>居民服务和其他服务业</c:v>
                </c:pt>
                <c:pt idx="12">
                  <c:v>金融业</c:v>
                </c:pt>
              </c:strCache>
            </c:strRef>
          </c:cat>
          <c:val>
            <c:numRef>
              <c:f>'17年5月'!$D$73:$D$85</c:f>
              <c:numCache>
                <c:formatCode>0.00%</c:formatCode>
                <c:ptCount val="13"/>
                <c:pt idx="0">
                  <c:v>0.1001793342568319</c:v>
                </c:pt>
                <c:pt idx="1">
                  <c:v>5.5334236376363734E-3</c:v>
                </c:pt>
                <c:pt idx="2">
                  <c:v>4.8428880839739681E-2</c:v>
                </c:pt>
                <c:pt idx="3">
                  <c:v>9.711673965188428E-3</c:v>
                </c:pt>
                <c:pt idx="4">
                  <c:v>-8.3957932431095963E-2</c:v>
                </c:pt>
                <c:pt idx="5">
                  <c:v>3.09881357877616E-3</c:v>
                </c:pt>
                <c:pt idx="6">
                  <c:v>-5.4751396022520979E-2</c:v>
                </c:pt>
                <c:pt idx="7">
                  <c:v>5.4802134008923396E-3</c:v>
                </c:pt>
                <c:pt idx="8">
                  <c:v>-0.10812947348697755</c:v>
                </c:pt>
                <c:pt idx="9">
                  <c:v>2.681565577961547E-2</c:v>
                </c:pt>
                <c:pt idx="10">
                  <c:v>3.3111990316555151E-2</c:v>
                </c:pt>
                <c:pt idx="11">
                  <c:v>-1.3899037310880401E-2</c:v>
                </c:pt>
                <c:pt idx="12">
                  <c:v>2.8377853476239272E-2</c:v>
                </c:pt>
              </c:numCache>
            </c:numRef>
          </c:val>
        </c:ser>
        <c:axId val="256762624"/>
        <c:axId val="256764544"/>
      </c:barChart>
      <c:catAx>
        <c:axId val="256762624"/>
        <c:scaling>
          <c:orientation val="minMax"/>
        </c:scaling>
        <c:axPos val="l"/>
        <c:numFmt formatCode="General" sourceLinked="0"/>
        <c:tickLblPos val="nextTo"/>
        <c:crossAx val="256764544"/>
        <c:crosses val="autoZero"/>
        <c:auto val="1"/>
        <c:lblAlgn val="ctr"/>
        <c:lblOffset val="100"/>
      </c:catAx>
      <c:valAx>
        <c:axId val="256764544"/>
        <c:scaling>
          <c:orientation val="minMax"/>
        </c:scaling>
        <c:axPos val="b"/>
        <c:majorGridlines/>
        <c:numFmt formatCode="0%" sourceLinked="0"/>
        <c:tickLblPos val="nextTo"/>
        <c:crossAx val="25676262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tx>
            <c:strRef>
              <c:f>'17年5月'!$B$89</c:f>
              <c:strCache>
                <c:ptCount val="1"/>
                <c:pt idx="0">
                  <c:v>5月各行业</c:v>
                </c:pt>
              </c:strCache>
            </c:strRef>
          </c:tx>
          <c:cat>
            <c:strRef>
              <c:f>'17年5月'!$A$90:$A$99</c:f>
              <c:strCache>
                <c:ptCount val="10"/>
                <c:pt idx="0">
                  <c:v>采矿业</c:v>
                </c:pt>
                <c:pt idx="1">
                  <c:v>房地产业（保障房）</c:v>
                </c:pt>
                <c:pt idx="2">
                  <c:v>公共管理和社会组织</c:v>
                </c:pt>
                <c:pt idx="3">
                  <c:v>建筑业</c:v>
                </c:pt>
                <c:pt idx="4">
                  <c:v>交通运输、仓储和邮政业</c:v>
                </c:pt>
                <c:pt idx="5">
                  <c:v>金融业</c:v>
                </c:pt>
                <c:pt idx="6">
                  <c:v>水利、环境和公共设施管理业</c:v>
                </c:pt>
                <c:pt idx="7">
                  <c:v>租赁和商务服务业</c:v>
                </c:pt>
                <c:pt idx="8">
                  <c:v>综合</c:v>
                </c:pt>
                <c:pt idx="9">
                  <c:v>制造业</c:v>
                </c:pt>
              </c:strCache>
            </c:strRef>
          </c:cat>
          <c:val>
            <c:numRef>
              <c:f>'17年5月'!$B$90:$B$99</c:f>
              <c:numCache>
                <c:formatCode>0.00%</c:formatCode>
                <c:ptCount val="10"/>
                <c:pt idx="0">
                  <c:v>3.01550137251736E-2</c:v>
                </c:pt>
                <c:pt idx="1">
                  <c:v>0</c:v>
                </c:pt>
                <c:pt idx="2">
                  <c:v>0.30276118197965468</c:v>
                </c:pt>
                <c:pt idx="3">
                  <c:v>0</c:v>
                </c:pt>
                <c:pt idx="4">
                  <c:v>1.5138059098982727E-2</c:v>
                </c:pt>
                <c:pt idx="5">
                  <c:v>0.54799773938317486</c:v>
                </c:pt>
                <c:pt idx="6">
                  <c:v>0</c:v>
                </c:pt>
                <c:pt idx="7">
                  <c:v>3.0276118197965457E-3</c:v>
                </c:pt>
                <c:pt idx="8">
                  <c:v>0</c:v>
                </c:pt>
                <c:pt idx="9">
                  <c:v>0.10092039399321814</c:v>
                </c:pt>
              </c:numCache>
            </c:numRef>
          </c:val>
        </c:ser>
        <c:ser>
          <c:idx val="1"/>
          <c:order val="1"/>
          <c:tx>
            <c:strRef>
              <c:f>'17年5月'!$C$89</c:f>
              <c:strCache>
                <c:ptCount val="1"/>
                <c:pt idx="0">
                  <c:v>4月各行业</c:v>
                </c:pt>
              </c:strCache>
            </c:strRef>
          </c:tx>
          <c:cat>
            <c:strRef>
              <c:f>'17年5月'!$A$90:$A$99</c:f>
              <c:strCache>
                <c:ptCount val="10"/>
                <c:pt idx="0">
                  <c:v>采矿业</c:v>
                </c:pt>
                <c:pt idx="1">
                  <c:v>房地产业（保障房）</c:v>
                </c:pt>
                <c:pt idx="2">
                  <c:v>公共管理和社会组织</c:v>
                </c:pt>
                <c:pt idx="3">
                  <c:v>建筑业</c:v>
                </c:pt>
                <c:pt idx="4">
                  <c:v>交通运输、仓储和邮政业</c:v>
                </c:pt>
                <c:pt idx="5">
                  <c:v>金融业</c:v>
                </c:pt>
                <c:pt idx="6">
                  <c:v>水利、环境和公共设施管理业</c:v>
                </c:pt>
                <c:pt idx="7">
                  <c:v>租赁和商务服务业</c:v>
                </c:pt>
                <c:pt idx="8">
                  <c:v>综合</c:v>
                </c:pt>
                <c:pt idx="9">
                  <c:v>制造业</c:v>
                </c:pt>
              </c:strCache>
            </c:strRef>
          </c:cat>
          <c:val>
            <c:numRef>
              <c:f>'17年5月'!$C$90:$C$99</c:f>
              <c:numCache>
                <c:formatCode>0.00%</c:formatCode>
                <c:ptCount val="10"/>
                <c:pt idx="0">
                  <c:v>1.039673205798231E-2</c:v>
                </c:pt>
                <c:pt idx="1">
                  <c:v>1.391798133598704E-3</c:v>
                </c:pt>
                <c:pt idx="2">
                  <c:v>0.20664722788606746</c:v>
                </c:pt>
                <c:pt idx="3">
                  <c:v>1.0438486001990268E-2</c:v>
                </c:pt>
                <c:pt idx="4">
                  <c:v>5.2192430009951416E-3</c:v>
                </c:pt>
                <c:pt idx="5">
                  <c:v>0.18893659663602397</c:v>
                </c:pt>
                <c:pt idx="6">
                  <c:v>0.33444909150376839</c:v>
                </c:pt>
                <c:pt idx="7">
                  <c:v>0.14161546009366804</c:v>
                </c:pt>
                <c:pt idx="8">
                  <c:v>4.5233439341957858E-2</c:v>
                </c:pt>
                <c:pt idx="9">
                  <c:v>5.5671925343948117E-2</c:v>
                </c:pt>
              </c:numCache>
            </c:numRef>
          </c:val>
        </c:ser>
        <c:ser>
          <c:idx val="2"/>
          <c:order val="2"/>
          <c:tx>
            <c:strRef>
              <c:f>'17年5月'!$D$89</c:f>
              <c:strCache>
                <c:ptCount val="1"/>
                <c:pt idx="0">
                  <c:v>行业变化</c:v>
                </c:pt>
              </c:strCache>
            </c:strRef>
          </c:tx>
          <c:cat>
            <c:strRef>
              <c:f>'17年5月'!$A$90:$A$99</c:f>
              <c:strCache>
                <c:ptCount val="10"/>
                <c:pt idx="0">
                  <c:v>采矿业</c:v>
                </c:pt>
                <c:pt idx="1">
                  <c:v>房地产业（保障房）</c:v>
                </c:pt>
                <c:pt idx="2">
                  <c:v>公共管理和社会组织</c:v>
                </c:pt>
                <c:pt idx="3">
                  <c:v>建筑业</c:v>
                </c:pt>
                <c:pt idx="4">
                  <c:v>交通运输、仓储和邮政业</c:v>
                </c:pt>
                <c:pt idx="5">
                  <c:v>金融业</c:v>
                </c:pt>
                <c:pt idx="6">
                  <c:v>水利、环境和公共设施管理业</c:v>
                </c:pt>
                <c:pt idx="7">
                  <c:v>租赁和商务服务业</c:v>
                </c:pt>
                <c:pt idx="8">
                  <c:v>综合</c:v>
                </c:pt>
                <c:pt idx="9">
                  <c:v>制造业</c:v>
                </c:pt>
              </c:strCache>
            </c:strRef>
          </c:cat>
          <c:val>
            <c:numRef>
              <c:f>'17年5月'!$D$90:$D$99</c:f>
              <c:numCache>
                <c:formatCode>0.00%</c:formatCode>
                <c:ptCount val="10"/>
                <c:pt idx="0">
                  <c:v>1.9758281667191277E-2</c:v>
                </c:pt>
                <c:pt idx="1">
                  <c:v>-1.391798133598704E-3</c:v>
                </c:pt>
                <c:pt idx="2">
                  <c:v>9.6113954093587028E-2</c:v>
                </c:pt>
                <c:pt idx="3">
                  <c:v>-1.0438486001990268E-2</c:v>
                </c:pt>
                <c:pt idx="4">
                  <c:v>9.9188160979875907E-3</c:v>
                </c:pt>
                <c:pt idx="5">
                  <c:v>0.35906114274715062</c:v>
                </c:pt>
                <c:pt idx="6">
                  <c:v>-0.33444909150376839</c:v>
                </c:pt>
                <c:pt idx="7">
                  <c:v>-0.13858784827387147</c:v>
                </c:pt>
                <c:pt idx="8">
                  <c:v>-4.5233439341957858E-2</c:v>
                </c:pt>
                <c:pt idx="9">
                  <c:v>4.5248468649270006E-2</c:v>
                </c:pt>
              </c:numCache>
            </c:numRef>
          </c:val>
        </c:ser>
        <c:axId val="252957056"/>
        <c:axId val="252958592"/>
      </c:barChart>
      <c:catAx>
        <c:axId val="252957056"/>
        <c:scaling>
          <c:orientation val="minMax"/>
        </c:scaling>
        <c:axPos val="l"/>
        <c:numFmt formatCode="General" sourceLinked="1"/>
        <c:tickLblPos val="nextTo"/>
        <c:crossAx val="252958592"/>
        <c:crosses val="autoZero"/>
        <c:auto val="1"/>
        <c:lblAlgn val="ctr"/>
        <c:lblOffset val="100"/>
      </c:catAx>
      <c:valAx>
        <c:axId val="252958592"/>
        <c:scaling>
          <c:orientation val="minMax"/>
        </c:scaling>
        <c:axPos val="b"/>
        <c:majorGridlines/>
        <c:numFmt formatCode="0%" sourceLinked="0"/>
        <c:tickLblPos val="nextTo"/>
        <c:crossAx val="25295705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2017-06-07T02:12:00Z</dcterms:created>
  <dcterms:modified xsi:type="dcterms:W3CDTF">2017-06-07T02:13:00Z</dcterms:modified>
</cp:coreProperties>
</file>