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E6" w:rsidRDefault="00C053E6" w:rsidP="00C053E6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中国建设银行“乾元—鑫满溢足3号”开放式净值型理财管理计划月度投资管理报告</w:t>
      </w:r>
    </w:p>
    <w:p w:rsidR="00C053E6" w:rsidRDefault="00C053E6" w:rsidP="00C053E6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>
        <w:rPr>
          <w:rFonts w:ascii="彩虹粗仿宋" w:eastAsia="彩虹粗仿宋" w:hAnsi="宋体" w:hint="eastAsia"/>
          <w:color w:val="000000"/>
          <w:szCs w:val="21"/>
        </w:rPr>
        <w:t>报告日：2017年8月31日</w:t>
      </w:r>
    </w:p>
    <w:p w:rsidR="00C053E6" w:rsidRDefault="00C053E6" w:rsidP="00C053E6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“乾元-鑫满溢足3号”净值型人民币理财产品于2016年8月22日正式成立，投资运作正常。截至报告日，目前本产品总资产规模为255,211,490.66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C053E6" w:rsidRDefault="00C053E6" w:rsidP="00C053E6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C053E6" w:rsidRDefault="00C053E6" w:rsidP="00C053E6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截至2017年8月31日，产品单位净值为0</w:t>
      </w:r>
      <w:r>
        <w:rPr>
          <w:rFonts w:eastAsia="彩虹粗仿宋"/>
          <w:color w:val="000000"/>
          <w:sz w:val="28"/>
          <w:szCs w:val="28"/>
        </w:rPr>
        <w:t>.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9834。</w:t>
      </w:r>
    </w:p>
    <w:p w:rsidR="00C053E6" w:rsidRDefault="00C053E6" w:rsidP="00C053E6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C053E6" w:rsidRDefault="00C053E6" w:rsidP="00C053E6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C053E6" w:rsidRDefault="00C053E6" w:rsidP="00C053E6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C053E6" w:rsidRDefault="00C053E6" w:rsidP="00C053E6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截至2017年8月31日，本产品的资金实际全部投资于现金、债券、股票、基金、买入返售金融资产等。</w:t>
      </w:r>
    </w:p>
    <w:p w:rsidR="00C053E6" w:rsidRDefault="00C053E6" w:rsidP="00C053E6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C053E6" w:rsidRDefault="00C053E6" w:rsidP="00C053E6">
      <w:pPr>
        <w:rPr>
          <w:rFonts w:ascii="彩虹粗仿宋" w:eastAsia="彩虹粗仿宋" w:hint="eastAsia"/>
        </w:rPr>
      </w:pPr>
      <w:r>
        <w:rPr>
          <w:rFonts w:ascii="彩虹粗仿宋" w:eastAsia="彩虹粗仿宋"/>
          <w:noProof/>
        </w:rPr>
        <w:drawing>
          <wp:inline distT="0" distB="0" distL="0" distR="0">
            <wp:extent cx="5261069" cy="2642083"/>
            <wp:effectExtent l="11744" t="5867" r="4037" b="0"/>
            <wp:docPr id="1" name="图表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053E6" w:rsidRDefault="00C053E6" w:rsidP="00C053E6">
      <w:pPr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C053E6" w:rsidRDefault="00C053E6" w:rsidP="00C053E6">
      <w:pPr>
        <w:ind w:firstLineChars="152" w:firstLine="426"/>
        <w:jc w:val="lef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信用债投资余额：0.59亿元。其中信用债评级情况如下：</w:t>
      </w:r>
    </w:p>
    <w:p w:rsidR="00C053E6" w:rsidRDefault="00C053E6" w:rsidP="00C053E6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572750" cy="2746626"/>
            <wp:effectExtent l="12200" t="6099" r="6100" b="0"/>
            <wp:docPr id="2" name="图表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053E6" w:rsidRDefault="00C053E6" w:rsidP="00C053E6">
      <w:pPr>
        <w:spacing w:line="480" w:lineRule="exac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C053E6" w:rsidRDefault="00C053E6" w:rsidP="00C053E6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C053E6" w:rsidRDefault="00C053E6" w:rsidP="00C053E6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C053E6" w:rsidRDefault="00C053E6" w:rsidP="00C053E6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C053E6" w:rsidRDefault="00C053E6" w:rsidP="00C053E6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C053E6" w:rsidRDefault="00C053E6" w:rsidP="00C053E6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2017年9月4日</w:t>
      </w:r>
    </w:p>
    <w:p w:rsidR="000C4354" w:rsidRDefault="000C4354">
      <w:pPr>
        <w:rPr>
          <w:rFonts w:hint="eastAsia"/>
        </w:rPr>
      </w:pPr>
    </w:p>
    <w:sectPr w:rsidR="000C4354" w:rsidSect="000C4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053E6"/>
    <w:rsid w:val="000C4354"/>
    <w:rsid w:val="00C0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53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53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Desktop\&#26631;&#20934;&#21270;&#25237;&#30740;\1-&#20135;&#21697;&#25237;&#21518;\17-08-31\&#24314;&#20449;&#36164;&#26412;&#23433;&#37995;1&#12289;2&#21495;&#65293;&#25237;&#21518;&#31649;&#29702;&#21488;&#36134;&#12304;2017-08-31&#12305;%20-%20&#25345;&#20179;&#1228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Desktop\&#26631;&#20934;&#21270;&#25237;&#30740;\1-&#20135;&#21697;&#25237;&#21518;\17-08-31\&#24314;&#20449;&#36164;&#26412;&#23433;&#37995;1&#12289;2&#21495;&#65293;&#25237;&#21518;&#31649;&#29702;&#21488;&#36134;&#12304;2017-08-31&#12305;%20-%20&#25345;&#20179;&#12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>
                <a:latin typeface="彩虹粗仿宋" pitchFamily="65" charset="-122"/>
                <a:ea typeface="彩虹粗仿宋" pitchFamily="65" charset="-122"/>
              </a:defRPr>
            </a:pPr>
            <a:r>
              <a:rPr lang="zh-CN" altLang="en-US">
                <a:latin typeface="彩虹粗仿宋" pitchFamily="65" charset="-122"/>
                <a:ea typeface="彩虹粗仿宋" pitchFamily="65" charset="-122"/>
              </a:rPr>
              <a:t>投资资产分布情况</a:t>
            </a:r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5445804876484682E-2"/>
          <c:y val="0.2633100029163023"/>
          <c:w val="0.61412412453679277"/>
          <c:h val="0.64189851268592302"/>
        </c:manualLayout>
      </c:layout>
      <c:pie3DChart>
        <c:varyColors val="1"/>
        <c:ser>
          <c:idx val="0"/>
          <c:order val="0"/>
          <c:tx>
            <c:strRef>
              <c:f>安鑫2号!$D$205:$D$210</c:f>
              <c:strCache>
                <c:ptCount val="1"/>
                <c:pt idx="0">
                  <c:v>27.13% 26.73% 26.05% 11.93% 7.30% 0.85%</c:v>
                </c:pt>
              </c:strCache>
            </c:strRef>
          </c:tx>
          <c:dLbls>
            <c:txPr>
              <a:bodyPr/>
              <a:lstStyle/>
              <a:p>
                <a:pPr>
                  <a:defRPr sz="12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安鑫2号!$C$205:$C$210</c:f>
              <c:strCache>
                <c:ptCount val="6"/>
                <c:pt idx="0">
                  <c:v>债券投资</c:v>
                </c:pt>
                <c:pt idx="1">
                  <c:v>现金类资产</c:v>
                </c:pt>
                <c:pt idx="2">
                  <c:v>买入返售金融资产</c:v>
                </c:pt>
                <c:pt idx="3">
                  <c:v>基金投资</c:v>
                </c:pt>
                <c:pt idx="4">
                  <c:v>股票投资</c:v>
                </c:pt>
                <c:pt idx="5">
                  <c:v>应收利息</c:v>
                </c:pt>
              </c:strCache>
            </c:strRef>
          </c:cat>
          <c:val>
            <c:numRef>
              <c:f>安鑫2号!$D$205:$D$210</c:f>
              <c:numCache>
                <c:formatCode>0.00%</c:formatCode>
                <c:ptCount val="6"/>
                <c:pt idx="0">
                  <c:v>0.2712576240387492</c:v>
                </c:pt>
                <c:pt idx="1">
                  <c:v>0.26729558301254724</c:v>
                </c:pt>
                <c:pt idx="2">
                  <c:v>0.26051503610583626</c:v>
                </c:pt>
                <c:pt idx="3">
                  <c:v>0.1192776428895808</c:v>
                </c:pt>
                <c:pt idx="4">
                  <c:v>7.3006036108126934E-2</c:v>
                </c:pt>
                <c:pt idx="5">
                  <c:v>8.4591858753579607E-3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  <c:txPr>
        <a:bodyPr/>
        <a:lstStyle/>
        <a:p>
          <a:pPr>
            <a:defRPr sz="12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 sz="2000">
                <a:latin typeface="彩虹粗仿宋" pitchFamily="65" charset="-122"/>
                <a:ea typeface="彩虹粗仿宋" pitchFamily="65" charset="-122"/>
              </a:defRPr>
            </a:pPr>
            <a:r>
              <a:rPr lang="zh-CN" altLang="en-US" sz="2000">
                <a:latin typeface="彩虹粗仿宋" pitchFamily="65" charset="-122"/>
                <a:ea typeface="彩虹粗仿宋" pitchFamily="65" charset="-122"/>
              </a:rPr>
              <a:t>信用债评级分布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6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安鑫2号!$Q$36:$Q$38</c:f>
              <c:strCache>
                <c:ptCount val="3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</c:strCache>
            </c:strRef>
          </c:cat>
          <c:val>
            <c:numRef>
              <c:f>安鑫2号!$S$36:$S$38</c:f>
              <c:numCache>
                <c:formatCode>0.00%</c:formatCode>
                <c:ptCount val="3"/>
                <c:pt idx="0">
                  <c:v>0.60048491103129853</c:v>
                </c:pt>
                <c:pt idx="1">
                  <c:v>0.17368631484702582</c:v>
                </c:pt>
                <c:pt idx="2">
                  <c:v>0.22582877412167537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sz="14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2017-09-04T06:26:00Z</dcterms:created>
  <dcterms:modified xsi:type="dcterms:W3CDTF">2017-09-04T06:26:00Z</dcterms:modified>
</cp:coreProperties>
</file>