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3A" w:rsidRDefault="003C423A" w:rsidP="003C423A">
      <w:pPr>
        <w:jc w:val="center"/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Pr="00A62E1D">
        <w:rPr>
          <w:rFonts w:hint="eastAsia"/>
          <w:b/>
          <w:color w:val="000000"/>
          <w:sz w:val="32"/>
          <w:szCs w:val="32"/>
        </w:rPr>
        <w:t>30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3C423A" w:rsidRPr="00EE774A" w:rsidRDefault="003C423A" w:rsidP="003C423A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3C423A" w:rsidRPr="00EE774A" w:rsidRDefault="003C423A" w:rsidP="003C423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9月30日    </w:t>
      </w:r>
    </w:p>
    <w:p w:rsidR="003C423A" w:rsidRPr="00EE774A" w:rsidRDefault="003C423A" w:rsidP="003C423A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“乾元—满溢”30天开放式资产组合型人民币理财产品（机构版）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665A6">
        <w:rPr>
          <w:rFonts w:ascii="宋体" w:hAnsi="宋体" w:cs="宋体"/>
          <w:bCs/>
          <w:kern w:val="0"/>
          <w:sz w:val="28"/>
          <w:szCs w:val="28"/>
        </w:rPr>
        <w:t>1,452,660,000.00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3C423A" w:rsidRPr="00EE774A" w:rsidRDefault="003C423A" w:rsidP="003C423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C423A" w:rsidRPr="00EE774A" w:rsidRDefault="003C423A" w:rsidP="003C42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为4.00%。</w:t>
      </w:r>
    </w:p>
    <w:p w:rsidR="003C423A" w:rsidRPr="00EE774A" w:rsidRDefault="003C423A" w:rsidP="003C42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3C423A" w:rsidRPr="00EE774A" w:rsidRDefault="003C423A" w:rsidP="003C423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3C423A" w:rsidRPr="00EE774A" w:rsidRDefault="003C423A" w:rsidP="003C423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3C423A" w:rsidRPr="00EE774A" w:rsidRDefault="003C423A" w:rsidP="003C423A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1449" cy="2645032"/>
            <wp:effectExtent l="6098" t="6095" r="4828" b="6348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C423A" w:rsidRPr="00EE774A" w:rsidRDefault="003C423A" w:rsidP="003C423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3C423A" w:rsidRPr="00EE774A" w:rsidRDefault="003C423A" w:rsidP="003C423A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562" cy="2390249"/>
            <wp:effectExtent l="6101" t="6107" r="6737" b="394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C423A" w:rsidRPr="00EE774A" w:rsidRDefault="003C423A" w:rsidP="003C423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3C423A" w:rsidRPr="005622F6" w:rsidRDefault="003C423A" w:rsidP="003C423A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5150" cy="1187954"/>
            <wp:effectExtent l="5850" t="5854" r="5850" b="6342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C423A" w:rsidRPr="00EE774A" w:rsidRDefault="003C423A" w:rsidP="003C423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3C423A" w:rsidRPr="00EE774A" w:rsidRDefault="003C423A" w:rsidP="003C423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C423A" w:rsidRPr="00EE774A" w:rsidRDefault="003C423A" w:rsidP="003C423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3C423A" w:rsidRPr="00EE774A" w:rsidRDefault="003C423A" w:rsidP="003C423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3C423A" w:rsidRPr="00EE774A" w:rsidRDefault="003C423A" w:rsidP="003C423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3C423A" w:rsidRDefault="003C423A" w:rsidP="003C42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3C423A" w:rsidRDefault="003C423A" w:rsidP="003C42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3C423A" w:rsidRDefault="003C423A" w:rsidP="003C42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3C423A" w:rsidRDefault="003C423A" w:rsidP="003C42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3C423A" w:rsidRDefault="003C423A" w:rsidP="003C42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3C423A" w:rsidRDefault="003C423A" w:rsidP="003C42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713E3B" w:rsidRDefault="00713E3B"/>
    <w:sectPr w:rsidR="00713E3B" w:rsidSect="0071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C423A"/>
    <w:rsid w:val="003C423A"/>
    <w:rsid w:val="0071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42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42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'17年9月'!$A$188:$A$189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'17年9月'!$B$188:$B$189</c:f>
              <c:numCache>
                <c:formatCode>0.00%</c:formatCode>
                <c:ptCount val="2"/>
                <c:pt idx="0">
                  <c:v>0.25644542609587545</c:v>
                </c:pt>
                <c:pt idx="1">
                  <c:v>0.74355457390295432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'17年9月'!$A$200:$A$201</c:f>
              <c:strCache>
                <c:ptCount val="2"/>
                <c:pt idx="0">
                  <c:v>AA-及以下</c:v>
                </c:pt>
                <c:pt idx="1">
                  <c:v>未评级</c:v>
                </c:pt>
              </c:strCache>
            </c:strRef>
          </c:cat>
          <c:val>
            <c:numRef>
              <c:f>'17年9月'!$B$200:$B$201</c:f>
              <c:numCache>
                <c:formatCode>0.00%</c:formatCode>
                <c:ptCount val="2"/>
                <c:pt idx="0">
                  <c:v>0.99900174979552059</c:v>
                </c:pt>
                <c:pt idx="1">
                  <c:v>9.9825020447915692E-4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111375421994628"/>
          <c:y val="4.6969997100919973E-2"/>
          <c:w val="0.61547466302337106"/>
          <c:h val="0.80292652328085068"/>
        </c:manualLayout>
      </c:layout>
      <c:barChart>
        <c:barDir val="bar"/>
        <c:grouping val="clustered"/>
        <c:ser>
          <c:idx val="0"/>
          <c:order val="0"/>
          <c:tx>
            <c:strRef>
              <c:f>'17年9月'!$B$204</c:f>
              <c:strCache>
                <c:ptCount val="1"/>
                <c:pt idx="0">
                  <c:v>9月各行业</c:v>
                </c:pt>
              </c:strCache>
            </c:strRef>
          </c:tx>
          <c:cat>
            <c:strRef>
              <c:f>'17年9月'!$A$205:$A$208</c:f>
              <c:strCache>
                <c:ptCount val="4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'17年9月'!$B$205:$B$208</c:f>
              <c:numCache>
                <c:formatCode>0.00%</c:formatCode>
                <c:ptCount val="4"/>
                <c:pt idx="0">
                  <c:v>0.23125040504525946</c:v>
                </c:pt>
                <c:pt idx="1">
                  <c:v>9.9825020447915692E-4</c:v>
                </c:pt>
                <c:pt idx="2">
                  <c:v>0.12025021062353494</c:v>
                </c:pt>
                <c:pt idx="3">
                  <c:v>0.64750113412672661</c:v>
                </c:pt>
              </c:numCache>
            </c:numRef>
          </c:val>
        </c:ser>
        <c:ser>
          <c:idx val="1"/>
          <c:order val="1"/>
          <c:tx>
            <c:strRef>
              <c:f>'17年9月'!$C$204</c:f>
              <c:strCache>
                <c:ptCount val="1"/>
                <c:pt idx="0">
                  <c:v>8月各行业</c:v>
                </c:pt>
              </c:strCache>
            </c:strRef>
          </c:tx>
          <c:cat>
            <c:strRef>
              <c:f>'17年9月'!$A$205:$A$208</c:f>
              <c:strCache>
                <c:ptCount val="4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'17年9月'!$C$205:$C$208</c:f>
              <c:numCache>
                <c:formatCode>0.00%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'17年9月'!$D$204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'17年9月'!$A$205:$A$208</c:f>
              <c:strCache>
                <c:ptCount val="4"/>
                <c:pt idx="0">
                  <c:v>水利、环境和公共设施管理业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'17年9月'!$D$205:$D$208</c:f>
              <c:numCache>
                <c:formatCode>0.00%</c:formatCode>
                <c:ptCount val="4"/>
                <c:pt idx="0">
                  <c:v>-0.76874959495474082</c:v>
                </c:pt>
                <c:pt idx="1">
                  <c:v>9.9825020447915692E-4</c:v>
                </c:pt>
                <c:pt idx="2">
                  <c:v>0.12025021062353494</c:v>
                </c:pt>
                <c:pt idx="3">
                  <c:v>0.64750113412672661</c:v>
                </c:pt>
              </c:numCache>
            </c:numRef>
          </c:val>
        </c:ser>
        <c:axId val="267547392"/>
        <c:axId val="267548928"/>
      </c:barChart>
      <c:catAx>
        <c:axId val="26754739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267548928"/>
        <c:crossesAt val="0"/>
        <c:auto val="1"/>
        <c:lblAlgn val="ctr"/>
        <c:lblOffset val="100"/>
      </c:catAx>
      <c:valAx>
        <c:axId val="267548928"/>
        <c:scaling>
          <c:orientation val="minMax"/>
          <c:max val="0.60000000000000031"/>
        </c:scaling>
        <c:axPos val="b"/>
        <c:majorGridlines/>
        <c:numFmt formatCode="0.00%" sourceLinked="1"/>
        <c:tickLblPos val="nextTo"/>
        <c:crossAx val="267547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15"/>
          <c:w val="0.12642702725808816"/>
          <c:h val="0.42761330223724175"/>
        </c:manualLayout>
      </c:layout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2017-10-13T03:02:00Z</dcterms:created>
  <dcterms:modified xsi:type="dcterms:W3CDTF">2017-10-13T03:02:00Z</dcterms:modified>
</cp:coreProperties>
</file>