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281" w:rsidRDefault="0038429C" w:rsidP="00CA3281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 xml:space="preserve"> </w:t>
      </w:r>
      <w:r w:rsidR="00CA3281" w:rsidRPr="009378DF">
        <w:rPr>
          <w:rFonts w:hint="eastAsia"/>
          <w:b/>
          <w:color w:val="000000"/>
          <w:sz w:val="32"/>
          <w:szCs w:val="32"/>
        </w:rPr>
        <w:t>“乾元—满溢”</w:t>
      </w:r>
      <w:r w:rsidR="00CA3281" w:rsidRPr="009378DF">
        <w:rPr>
          <w:rFonts w:hint="eastAsia"/>
          <w:b/>
          <w:color w:val="000000"/>
          <w:sz w:val="32"/>
          <w:szCs w:val="32"/>
        </w:rPr>
        <w:t>30</w:t>
      </w:r>
      <w:r w:rsidR="00CA3281"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CA3281" w:rsidRPr="00EE774A" w:rsidRDefault="00CA3281" w:rsidP="00CA3281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CA3281" w:rsidRPr="00EE774A" w:rsidRDefault="00CA3281" w:rsidP="00CA3281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>1</w:t>
      </w:r>
      <w:r w:rsidR="00AD4A45">
        <w:rPr>
          <w:rFonts w:ascii="宋体" w:hAnsi="宋体" w:hint="eastAsia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月</w:t>
      </w:r>
      <w:r w:rsidR="00AD4A45">
        <w:rPr>
          <w:rFonts w:ascii="宋体" w:hAnsi="宋体" w:hint="eastAsia"/>
          <w:color w:val="000000"/>
          <w:szCs w:val="21"/>
        </w:rPr>
        <w:t>30</w:t>
      </w:r>
      <w:r>
        <w:rPr>
          <w:rFonts w:ascii="宋体" w:hAnsi="宋体" w:hint="eastAsia"/>
          <w:color w:val="000000"/>
          <w:szCs w:val="21"/>
        </w:rPr>
        <w:t>日</w:t>
      </w:r>
    </w:p>
    <w:p w:rsidR="00CA3281" w:rsidRPr="000A55B8" w:rsidRDefault="00CA3281" w:rsidP="00781ACA">
      <w:pPr>
        <w:ind w:firstLine="420"/>
        <w:rPr>
          <w:rFonts w:ascii="宋体" w:hAnsi="宋体"/>
          <w:color w:val="000000"/>
          <w:sz w:val="28"/>
          <w:szCs w:val="28"/>
        </w:rPr>
      </w:pPr>
      <w:r w:rsidRPr="000A55B8">
        <w:rPr>
          <w:rFonts w:ascii="宋体" w:hAnsi="宋体" w:hint="eastAsia"/>
          <w:color w:val="000000"/>
          <w:sz w:val="28"/>
          <w:szCs w:val="28"/>
        </w:rPr>
        <w:t>“乾元—满溢”30天开放式资产组合型人民币理财产品（机构版）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8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18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="00AD4A45" w:rsidRPr="00AD4A45">
        <w:rPr>
          <w:rFonts w:ascii="宋体" w:hAnsi="宋体" w:hint="eastAsia"/>
          <w:color w:val="000000"/>
          <w:sz w:val="28"/>
          <w:szCs w:val="28"/>
        </w:rPr>
        <w:t>4,801,501,000.00</w:t>
      </w:r>
      <w:r w:rsidRPr="00AD4A45">
        <w:rPr>
          <w:rFonts w:ascii="宋体" w:hAnsi="宋体" w:hint="eastAsia"/>
          <w:color w:val="000000"/>
          <w:sz w:val="28"/>
          <w:szCs w:val="28"/>
        </w:rPr>
        <w:t xml:space="preserve">元。  </w:t>
      </w:r>
    </w:p>
    <w:p w:rsidR="00CA3281" w:rsidRPr="00EE774A" w:rsidRDefault="00CA3281" w:rsidP="00CA3281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CA3281" w:rsidRPr="00EE774A" w:rsidRDefault="00CA3281" w:rsidP="00CA3281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根据产品说明书的约定，201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AD4A45">
        <w:rPr>
          <w:rFonts w:ascii="宋体" w:hAnsi="宋体" w:hint="eastAsia"/>
          <w:color w:val="000000"/>
          <w:sz w:val="28"/>
          <w:szCs w:val="28"/>
        </w:rPr>
        <w:t>1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EE774A">
        <w:rPr>
          <w:rFonts w:ascii="宋体" w:hAnsi="宋体" w:hint="eastAsia"/>
          <w:color w:val="000000"/>
          <w:sz w:val="28"/>
          <w:szCs w:val="28"/>
        </w:rPr>
        <w:t>日至201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 w:rsidR="00AD4A45">
        <w:rPr>
          <w:rFonts w:ascii="宋体" w:hAnsi="宋体" w:hint="eastAsia"/>
          <w:color w:val="000000"/>
          <w:sz w:val="28"/>
          <w:szCs w:val="28"/>
        </w:rPr>
        <w:t>11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 w:rsidR="00AD4A45">
        <w:rPr>
          <w:rFonts w:ascii="宋体" w:hAnsi="宋体" w:hint="eastAsia"/>
          <w:color w:val="000000"/>
          <w:sz w:val="28"/>
          <w:szCs w:val="28"/>
        </w:rPr>
        <w:t>30</w:t>
      </w:r>
      <w:r w:rsidRPr="00EE774A">
        <w:rPr>
          <w:rFonts w:ascii="宋体" w:hAnsi="宋体" w:hint="eastAsia"/>
          <w:color w:val="000000"/>
          <w:sz w:val="28"/>
          <w:szCs w:val="28"/>
        </w:rPr>
        <w:t>日</w:t>
      </w:r>
      <w:r w:rsidRPr="009E0E2D">
        <w:rPr>
          <w:rFonts w:ascii="宋体" w:hAnsi="宋体" w:hint="eastAsia"/>
          <w:color w:val="000000"/>
          <w:sz w:val="28"/>
          <w:szCs w:val="28"/>
        </w:rPr>
        <w:t>投资者实际收益率</w:t>
      </w:r>
      <w:r>
        <w:rPr>
          <w:rFonts w:ascii="宋体" w:hAnsi="宋体" w:hint="eastAsia"/>
          <w:color w:val="000000"/>
          <w:sz w:val="28"/>
          <w:szCs w:val="28"/>
        </w:rPr>
        <w:t>为4.00%。</w:t>
      </w:r>
    </w:p>
    <w:p w:rsidR="00CA3281" w:rsidRPr="00EE774A" w:rsidRDefault="00CA3281" w:rsidP="00CA3281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CA3281" w:rsidRPr="00EE774A" w:rsidRDefault="00CA3281" w:rsidP="00CA328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CA3281" w:rsidRPr="00EE774A" w:rsidRDefault="00CA3281" w:rsidP="00CA328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CA3281" w:rsidRPr="00EE774A" w:rsidRDefault="00AD4A45" w:rsidP="00CA328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743739" cy="1918252"/>
            <wp:effectExtent l="38100" t="0" r="9525" b="2540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A3281" w:rsidRPr="00EE774A" w:rsidRDefault="00CA3281" w:rsidP="00CA3281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CA3281" w:rsidRPr="00EE774A" w:rsidRDefault="00FE2282" w:rsidP="00CA328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229100" cy="2457450"/>
            <wp:effectExtent l="0" t="0" r="19050" b="1905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A3281" w:rsidRPr="00EE774A" w:rsidRDefault="00CA3281" w:rsidP="00CA328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C75BE9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>
        <w:rPr>
          <w:rFonts w:ascii="宋体" w:hAnsi="宋体" w:hint="eastAsia"/>
          <w:b/>
          <w:color w:val="000000"/>
          <w:sz w:val="28"/>
          <w:szCs w:val="28"/>
        </w:rPr>
        <w:t>及当月增减变化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情况</w:t>
      </w:r>
    </w:p>
    <w:p w:rsidR="00CA3281" w:rsidRPr="005622F6" w:rsidRDefault="00FE2282" w:rsidP="00FE2282">
      <w:pPr>
        <w:ind w:right="1400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A3281" w:rsidRPr="00EE774A" w:rsidRDefault="00CA3281" w:rsidP="00CA3281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bookmarkStart w:id="0" w:name="_GoBack"/>
      <w:bookmarkEnd w:id="0"/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CA3281" w:rsidRPr="00EE774A" w:rsidRDefault="00CA3281" w:rsidP="00CA328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CA3281" w:rsidRPr="00EE774A" w:rsidRDefault="00CA3281" w:rsidP="00CA328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CA3281" w:rsidRPr="00EE774A" w:rsidRDefault="00CA3281" w:rsidP="00CA328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CA3281" w:rsidRPr="00EE774A" w:rsidRDefault="00CA3281" w:rsidP="00CA3281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CA3281" w:rsidRPr="00371CB6" w:rsidRDefault="00CA3281" w:rsidP="00CA3281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2017年1</w:t>
      </w:r>
      <w:r w:rsidR="00FE2282">
        <w:rPr>
          <w:rFonts w:ascii="宋体" w:hAnsi="宋体" w:hint="eastAsia"/>
          <w:color w:val="000000"/>
          <w:sz w:val="28"/>
          <w:szCs w:val="28"/>
        </w:rPr>
        <w:t>2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FE2282">
        <w:rPr>
          <w:rFonts w:ascii="宋体" w:hAnsi="宋体" w:hint="eastAsia"/>
          <w:color w:val="000000"/>
          <w:sz w:val="28"/>
          <w:szCs w:val="28"/>
        </w:rPr>
        <w:t>6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sectPr w:rsidR="00CA3281" w:rsidRPr="00371CB6" w:rsidSect="00785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EFA" w:rsidRDefault="00F14EFA" w:rsidP="00CA3281">
      <w:r>
        <w:separator/>
      </w:r>
    </w:p>
  </w:endnote>
  <w:endnote w:type="continuationSeparator" w:id="0">
    <w:p w:rsidR="00F14EFA" w:rsidRDefault="00F14EFA" w:rsidP="00CA3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EFA" w:rsidRDefault="00F14EFA" w:rsidP="00CA3281">
      <w:r>
        <w:separator/>
      </w:r>
    </w:p>
  </w:footnote>
  <w:footnote w:type="continuationSeparator" w:id="0">
    <w:p w:rsidR="00F14EFA" w:rsidRDefault="00F14EFA" w:rsidP="00CA32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6EE8"/>
    <w:rsid w:val="00153C80"/>
    <w:rsid w:val="00254C37"/>
    <w:rsid w:val="00295659"/>
    <w:rsid w:val="0038429C"/>
    <w:rsid w:val="004D3FBD"/>
    <w:rsid w:val="00646EE8"/>
    <w:rsid w:val="00781ACA"/>
    <w:rsid w:val="00785165"/>
    <w:rsid w:val="00A66F45"/>
    <w:rsid w:val="00AD4A45"/>
    <w:rsid w:val="00CA3281"/>
    <w:rsid w:val="00CE3DC2"/>
    <w:rsid w:val="00DE1C0D"/>
    <w:rsid w:val="00F14EFA"/>
    <w:rsid w:val="00FE0C7A"/>
    <w:rsid w:val="00FE2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2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2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2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32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328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2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2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2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32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328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711\11&#26376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711\11&#26376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711\11&#26376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3.0555555555555561E-2"/>
          <c:y val="5.0925925925925923E-2"/>
          <c:w val="0.70837642169728787"/>
          <c:h val="0.89814814814814814"/>
        </c:manualLayout>
      </c:layout>
      <c:pie3DChart>
        <c:varyColors val="1"/>
        <c:ser>
          <c:idx val="0"/>
          <c:order val="0"/>
          <c:dLbls>
            <c:dLbl>
              <c:idx val="0"/>
              <c:showVal val="1"/>
            </c:dLbl>
            <c:dLbl>
              <c:idx val="1"/>
              <c:showVal val="1"/>
            </c:dLbl>
            <c:delete val="1"/>
          </c:dLbls>
          <c:cat>
            <c:strRef>
              <c:f>'2017年11月'!$A$106:$A$107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'2017年11月'!$B$106:$B$107</c:f>
              <c:numCache>
                <c:formatCode>0.00%</c:formatCode>
                <c:ptCount val="2"/>
                <c:pt idx="0">
                  <c:v>7.6043258459960753E-2</c:v>
                </c:pt>
                <c:pt idx="1">
                  <c:v>0.92395674154003926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1845805533850282"/>
          <c:y val="0.67743077645095684"/>
          <c:w val="0.26118571056480538"/>
          <c:h val="0.2399059819015161"/>
        </c:manualLayout>
      </c:layout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3.6872484689413836E-2"/>
          <c:y val="6.25E-2"/>
          <c:w val="0.69399256342957172"/>
          <c:h val="0.82407407407407451"/>
        </c:manualLayout>
      </c:layout>
      <c:pie3D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'2017年11月'!$A$113:$A$117</c:f>
              <c:strCache>
                <c:ptCount val="5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  <c:pt idx="3">
                  <c:v>AA-及以下</c:v>
                </c:pt>
                <c:pt idx="4">
                  <c:v>未评级</c:v>
                </c:pt>
              </c:strCache>
            </c:strRef>
          </c:cat>
          <c:val>
            <c:numRef>
              <c:f>'2017年11月'!$B$113:$B$117</c:f>
              <c:numCache>
                <c:formatCode>0.00%</c:formatCode>
                <c:ptCount val="5"/>
                <c:pt idx="0">
                  <c:v>0.21052590552137374</c:v>
                </c:pt>
                <c:pt idx="1">
                  <c:v>0.21344514954599506</c:v>
                </c:pt>
                <c:pt idx="2">
                  <c:v>0.25831971277073201</c:v>
                </c:pt>
                <c:pt idx="3">
                  <c:v>0.25785624223284742</c:v>
                </c:pt>
                <c:pt idx="4">
                  <c:v>5.9852989929052178E-2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hart>
    <c:plotArea>
      <c:layout/>
      <c:barChart>
        <c:barDir val="bar"/>
        <c:grouping val="clustered"/>
        <c:ser>
          <c:idx val="0"/>
          <c:order val="0"/>
          <c:tx>
            <c:strRef>
              <c:f>'2017年11月'!$B$120</c:f>
              <c:strCache>
                <c:ptCount val="1"/>
                <c:pt idx="0">
                  <c:v>11月各行业</c:v>
                </c:pt>
              </c:strCache>
            </c:strRef>
          </c:tx>
          <c:cat>
            <c:strRef>
              <c:f>'2017年11月'!$A$121:$A$128</c:f>
              <c:strCache>
                <c:ptCount val="8"/>
                <c:pt idx="0">
                  <c:v>水利、环境和公共设施管理业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房地产业（保障房）</c:v>
                </c:pt>
                <c:pt idx="4">
                  <c:v>交通运输、仓储和邮政业</c:v>
                </c:pt>
                <c:pt idx="5">
                  <c:v>租赁和商务服务业</c:v>
                </c:pt>
                <c:pt idx="6">
                  <c:v>采矿业</c:v>
                </c:pt>
                <c:pt idx="7">
                  <c:v>制造业</c:v>
                </c:pt>
              </c:strCache>
            </c:strRef>
          </c:cat>
          <c:val>
            <c:numRef>
              <c:f>'2017年11月'!$B$121:$B$128</c:f>
              <c:numCache>
                <c:formatCode>0.00%</c:formatCode>
                <c:ptCount val="8"/>
                <c:pt idx="0">
                  <c:v>5.2115057744775824E-2</c:v>
                </c:pt>
                <c:pt idx="1">
                  <c:v>0.16817204058182753</c:v>
                </c:pt>
                <c:pt idx="2">
                  <c:v>3.8066650874444947E-2</c:v>
                </c:pt>
                <c:pt idx="3">
                  <c:v>5.9346688173253788E-2</c:v>
                </c:pt>
                <c:pt idx="4">
                  <c:v>9.5166627186112407E-2</c:v>
                </c:pt>
                <c:pt idx="5">
                  <c:v>0.46250997126729582</c:v>
                </c:pt>
                <c:pt idx="6">
                  <c:v>2.2658720758598185E-2</c:v>
                </c:pt>
                <c:pt idx="7">
                  <c:v>0.10196424341369191</c:v>
                </c:pt>
              </c:numCache>
            </c:numRef>
          </c:val>
        </c:ser>
        <c:ser>
          <c:idx val="1"/>
          <c:order val="1"/>
          <c:tx>
            <c:strRef>
              <c:f>'2017年11月'!$C$120</c:f>
              <c:strCache>
                <c:ptCount val="1"/>
                <c:pt idx="0">
                  <c:v>10月各行业</c:v>
                </c:pt>
              </c:strCache>
            </c:strRef>
          </c:tx>
          <c:cat>
            <c:strRef>
              <c:f>'2017年11月'!$A$121:$A$128</c:f>
              <c:strCache>
                <c:ptCount val="8"/>
                <c:pt idx="0">
                  <c:v>水利、环境和公共设施管理业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房地产业（保障房）</c:v>
                </c:pt>
                <c:pt idx="4">
                  <c:v>交通运输、仓储和邮政业</c:v>
                </c:pt>
                <c:pt idx="5">
                  <c:v>租赁和商务服务业</c:v>
                </c:pt>
                <c:pt idx="6">
                  <c:v>采矿业</c:v>
                </c:pt>
                <c:pt idx="7">
                  <c:v>制造业</c:v>
                </c:pt>
              </c:strCache>
            </c:strRef>
          </c:cat>
          <c:val>
            <c:numRef>
              <c:f>'2017年11月'!$C$121:$C$128</c:f>
              <c:numCache>
                <c:formatCode>0.00%</c:formatCode>
                <c:ptCount val="8"/>
                <c:pt idx="0">
                  <c:v>8.7379532912213814E-2</c:v>
                </c:pt>
                <c:pt idx="1">
                  <c:v>8.0191307882553048E-2</c:v>
                </c:pt>
                <c:pt idx="2">
                  <c:v>6.3825050127182287E-2</c:v>
                </c:pt>
                <c:pt idx="3">
                  <c:v>9.9504560042160822E-2</c:v>
                </c:pt>
                <c:pt idx="4">
                  <c:v>0.15956262531795573</c:v>
                </c:pt>
                <c:pt idx="5">
                  <c:v>0.50953692371793369</c:v>
                </c:pt>
                <c:pt idx="6" formatCode="General">
                  <c:v>0</c:v>
                </c:pt>
                <c:pt idx="7" formatCode="General">
                  <c:v>0</c:v>
                </c:pt>
              </c:numCache>
            </c:numRef>
          </c:val>
        </c:ser>
        <c:ser>
          <c:idx val="2"/>
          <c:order val="2"/>
          <c:tx>
            <c:strRef>
              <c:f>'2017年11月'!$D$120</c:f>
              <c:strCache>
                <c:ptCount val="1"/>
                <c:pt idx="0">
                  <c:v>行业变化</c:v>
                </c:pt>
              </c:strCache>
            </c:strRef>
          </c:tx>
          <c:cat>
            <c:strRef>
              <c:f>'2017年11月'!$A$121:$A$128</c:f>
              <c:strCache>
                <c:ptCount val="8"/>
                <c:pt idx="0">
                  <c:v>水利、环境和公共设施管理业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房地产业（保障房）</c:v>
                </c:pt>
                <c:pt idx="4">
                  <c:v>交通运输、仓储和邮政业</c:v>
                </c:pt>
                <c:pt idx="5">
                  <c:v>租赁和商务服务业</c:v>
                </c:pt>
                <c:pt idx="6">
                  <c:v>采矿业</c:v>
                </c:pt>
                <c:pt idx="7">
                  <c:v>制造业</c:v>
                </c:pt>
              </c:strCache>
            </c:strRef>
          </c:cat>
          <c:val>
            <c:numRef>
              <c:f>'2017年11月'!$D$121:$D$128</c:f>
              <c:numCache>
                <c:formatCode>0.00%</c:formatCode>
                <c:ptCount val="8"/>
                <c:pt idx="0">
                  <c:v>-3.5264475167438018E-2</c:v>
                </c:pt>
                <c:pt idx="1">
                  <c:v>8.7980732699274436E-2</c:v>
                </c:pt>
                <c:pt idx="2">
                  <c:v>-2.5758399252737332E-2</c:v>
                </c:pt>
                <c:pt idx="3">
                  <c:v>-4.0157871868906986E-2</c:v>
                </c:pt>
                <c:pt idx="4">
                  <c:v>-6.4395998131843407E-2</c:v>
                </c:pt>
                <c:pt idx="5">
                  <c:v>-4.7026952450638787E-2</c:v>
                </c:pt>
                <c:pt idx="6">
                  <c:v>2.2658720758598185E-2</c:v>
                </c:pt>
                <c:pt idx="7">
                  <c:v>0.10196424341369191</c:v>
                </c:pt>
              </c:numCache>
            </c:numRef>
          </c:val>
        </c:ser>
        <c:axId val="121926016"/>
        <c:axId val="121927552"/>
      </c:barChart>
      <c:catAx>
        <c:axId val="121926016"/>
        <c:scaling>
          <c:orientation val="minMax"/>
        </c:scaling>
        <c:axPos val="l"/>
        <c:tickLblPos val="nextTo"/>
        <c:crossAx val="121927552"/>
        <c:crosses val="autoZero"/>
        <c:auto val="1"/>
        <c:lblAlgn val="ctr"/>
        <c:lblOffset val="100"/>
      </c:catAx>
      <c:valAx>
        <c:axId val="121927552"/>
        <c:scaling>
          <c:orientation val="minMax"/>
          <c:max val="0.60000000000000031"/>
          <c:min val="-0.1"/>
        </c:scaling>
        <c:axPos val="b"/>
        <c:majorGridlines/>
        <c:numFmt formatCode="0%" sourceLinked="0"/>
        <c:tickLblPos val="nextTo"/>
        <c:crossAx val="121926016"/>
        <c:crosses val="autoZero"/>
        <c:crossBetween val="between"/>
        <c:majorUnit val="0.1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ccb</cp:lastModifiedBy>
  <cp:revision>5</cp:revision>
  <dcterms:created xsi:type="dcterms:W3CDTF">2017-12-07T07:35:00Z</dcterms:created>
  <dcterms:modified xsi:type="dcterms:W3CDTF">2017-12-07T08:18:00Z</dcterms:modified>
</cp:coreProperties>
</file>