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E15" w:rsidRPr="00986C29" w:rsidRDefault="00B27892" w:rsidP="00747E15">
      <w:pPr>
        <w:jc w:val="center"/>
        <w:rPr>
          <w:b/>
          <w:color w:val="000000"/>
          <w:sz w:val="32"/>
          <w:szCs w:val="32"/>
        </w:rPr>
      </w:pPr>
      <w:bookmarkStart w:id="0" w:name="_GoBack"/>
      <w:bookmarkEnd w:id="0"/>
      <w:r w:rsidRPr="00986C29">
        <w:rPr>
          <w:rFonts w:hint="eastAsia"/>
          <w:b/>
          <w:color w:val="000000"/>
          <w:sz w:val="32"/>
          <w:szCs w:val="32"/>
        </w:rPr>
        <w:t xml:space="preserve"> </w:t>
      </w:r>
      <w:r w:rsidR="00747E15" w:rsidRPr="00986C29">
        <w:rPr>
          <w:rFonts w:hint="eastAsia"/>
          <w:b/>
          <w:color w:val="000000"/>
          <w:sz w:val="32"/>
          <w:szCs w:val="32"/>
        </w:rPr>
        <w:t>“乾元—日鑫月溢”（按日）开放式资产组合型人民币理财产品月度投资管理报告</w:t>
      </w:r>
    </w:p>
    <w:p w:rsidR="00747E15" w:rsidRPr="00986C29" w:rsidRDefault="00747E15" w:rsidP="00747E15">
      <w:pPr>
        <w:spacing w:line="480" w:lineRule="exact"/>
        <w:ind w:firstLineChars="200" w:firstLine="420"/>
        <w:jc w:val="center"/>
        <w:rPr>
          <w:rFonts w:ascii="宋体" w:hAnsi="宋体"/>
          <w:color w:val="000000"/>
          <w:szCs w:val="21"/>
        </w:rPr>
      </w:pPr>
      <w:r w:rsidRPr="00986C29">
        <w:rPr>
          <w:rFonts w:ascii="宋体" w:hAnsi="宋体" w:hint="eastAsia"/>
          <w:color w:val="000000"/>
          <w:szCs w:val="21"/>
        </w:rPr>
        <w:t>报告日：</w:t>
      </w:r>
      <w:r>
        <w:rPr>
          <w:rFonts w:ascii="宋体" w:hAnsi="宋体" w:hint="eastAsia"/>
          <w:color w:val="000000"/>
          <w:szCs w:val="21"/>
        </w:rPr>
        <w:t>201</w:t>
      </w:r>
      <w:r w:rsidR="00DC041F">
        <w:rPr>
          <w:rFonts w:ascii="宋体" w:hAnsi="宋体" w:hint="eastAsia"/>
          <w:color w:val="000000"/>
          <w:szCs w:val="21"/>
        </w:rPr>
        <w:t>8</w:t>
      </w:r>
      <w:r w:rsidRPr="00986C29">
        <w:rPr>
          <w:rFonts w:ascii="宋体" w:hAnsi="宋体" w:hint="eastAsia"/>
          <w:color w:val="000000"/>
          <w:szCs w:val="21"/>
        </w:rPr>
        <w:t>年</w:t>
      </w:r>
      <w:r w:rsidR="00E76F46">
        <w:rPr>
          <w:rFonts w:ascii="宋体" w:hAnsi="宋体" w:hint="eastAsia"/>
          <w:color w:val="000000"/>
          <w:szCs w:val="21"/>
        </w:rPr>
        <w:t>1</w:t>
      </w:r>
      <w:r w:rsidRPr="00986C29">
        <w:rPr>
          <w:rFonts w:ascii="宋体" w:hAnsi="宋体" w:hint="eastAsia"/>
          <w:color w:val="000000"/>
          <w:szCs w:val="21"/>
        </w:rPr>
        <w:t>月</w:t>
      </w:r>
      <w:r w:rsidR="00DC041F">
        <w:rPr>
          <w:rFonts w:ascii="宋体" w:hAnsi="宋体" w:hint="eastAsia"/>
          <w:color w:val="000000"/>
          <w:szCs w:val="21"/>
        </w:rPr>
        <w:t>31</w:t>
      </w:r>
      <w:r w:rsidRPr="00986C29">
        <w:rPr>
          <w:rFonts w:ascii="宋体" w:hAnsi="宋体" w:hint="eastAsia"/>
          <w:color w:val="000000"/>
          <w:szCs w:val="21"/>
        </w:rPr>
        <w:t>日</w:t>
      </w:r>
    </w:p>
    <w:p w:rsidR="00747E15" w:rsidRPr="004340C8" w:rsidRDefault="00747E15" w:rsidP="00747E15">
      <w:pPr>
        <w:jc w:val="left"/>
        <w:rPr>
          <w:rFonts w:ascii="宋体" w:hAnsi="宋体"/>
          <w:color w:val="000000"/>
          <w:sz w:val="28"/>
          <w:szCs w:val="28"/>
        </w:rPr>
      </w:pPr>
      <w:r w:rsidRPr="00986C29">
        <w:rPr>
          <w:rFonts w:ascii="宋体" w:hAnsi="宋体" w:hint="eastAsia"/>
          <w:color w:val="000000"/>
          <w:sz w:val="28"/>
          <w:szCs w:val="28"/>
        </w:rPr>
        <w:t xml:space="preserve">   “乾元-日鑫月溢”（按日）开放式资产组合型人民币理财产品于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7"/>
          <w:attr w:name="Month" w:val="3"/>
          <w:attr w:name="Year" w:val="2011"/>
        </w:smartTagPr>
        <w:r w:rsidRPr="00986C29">
          <w:rPr>
            <w:rFonts w:ascii="宋体" w:hAnsi="宋体" w:hint="eastAsia"/>
            <w:color w:val="000000"/>
            <w:sz w:val="28"/>
            <w:szCs w:val="28"/>
          </w:rPr>
          <w:t>2011年3月17日</w:t>
        </w:r>
      </w:smartTag>
      <w:r w:rsidRPr="00986C29">
        <w:rPr>
          <w:rFonts w:ascii="宋体" w:hAnsi="宋体" w:hint="eastAsia"/>
          <w:color w:val="000000"/>
          <w:sz w:val="28"/>
          <w:szCs w:val="28"/>
        </w:rPr>
        <w:t>正式成立。截至报告日，本产品规模为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 </w:t>
      </w:r>
      <w:r>
        <w:rPr>
          <w:rFonts w:ascii="宋体" w:hAnsi="宋体" w:cs="宋体" w:hint="eastAsia"/>
          <w:kern w:val="0"/>
          <w:sz w:val="24"/>
          <w:szCs w:val="24"/>
        </w:rPr>
        <w:t xml:space="preserve">         </w:t>
      </w:r>
      <w:r w:rsidR="00DC041F" w:rsidRPr="00DC041F">
        <w:rPr>
          <w:rFonts w:ascii="宋体" w:hAnsi="宋体" w:hint="eastAsia"/>
          <w:color w:val="000000"/>
          <w:sz w:val="28"/>
          <w:szCs w:val="28"/>
        </w:rPr>
        <w:t xml:space="preserve">109,093,206,839.56 </w:t>
      </w:r>
      <w:r w:rsidRPr="00986C29">
        <w:rPr>
          <w:rFonts w:ascii="宋体" w:hAnsi="宋体" w:hint="eastAsia"/>
          <w:color w:val="000000"/>
          <w:sz w:val="28"/>
          <w:szCs w:val="28"/>
        </w:rPr>
        <w:t>元。</w:t>
      </w:r>
    </w:p>
    <w:p w:rsidR="00747E15" w:rsidRPr="00986C29" w:rsidRDefault="00747E15" w:rsidP="00747E15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986C29">
        <w:rPr>
          <w:rFonts w:ascii="宋体" w:hAnsi="宋体" w:hint="eastAsia"/>
          <w:b/>
          <w:color w:val="000000"/>
          <w:sz w:val="28"/>
          <w:szCs w:val="28"/>
        </w:rPr>
        <w:t>一、报告期投资者实际收益率</w:t>
      </w:r>
    </w:p>
    <w:p w:rsidR="00747E15" w:rsidRDefault="00D57BDC" w:rsidP="00BE070B">
      <w:pPr>
        <w:ind w:firstLineChars="200" w:firstLine="560"/>
        <w:jc w:val="left"/>
        <w:rPr>
          <w:rFonts w:ascii="宋体" w:hAnsi="宋体"/>
          <w:color w:val="000000"/>
          <w:sz w:val="28"/>
          <w:szCs w:val="28"/>
        </w:rPr>
      </w:pPr>
      <w:r w:rsidRPr="00BE070B">
        <w:rPr>
          <w:rFonts w:ascii="宋体" w:hAnsi="宋体" w:hint="eastAsia"/>
          <w:color w:val="000000"/>
          <w:sz w:val="28"/>
          <w:szCs w:val="28"/>
        </w:rPr>
        <w:t>中国建设银行于2018年1月22日（含）起，调整“乾元—日鑫月溢”（按日）开放式资产组合型人民币理财产品客户预期年化收益率</w:t>
      </w:r>
      <w:r w:rsidR="00BE070B" w:rsidRPr="00BE070B">
        <w:rPr>
          <w:rFonts w:ascii="宋体" w:hAnsi="宋体" w:hint="eastAsia"/>
          <w:color w:val="000000"/>
          <w:sz w:val="28"/>
          <w:szCs w:val="28"/>
        </w:rPr>
        <w:t>，具体如下表：</w:t>
      </w:r>
    </w:p>
    <w:tbl>
      <w:tblPr>
        <w:tblW w:w="10741" w:type="dxa"/>
        <w:tblInd w:w="-1026" w:type="dxa"/>
        <w:tblLook w:val="04A0" w:firstRow="1" w:lastRow="0" w:firstColumn="1" w:lastColumn="0" w:noHBand="0" w:noVBand="1"/>
      </w:tblPr>
      <w:tblGrid>
        <w:gridCol w:w="2127"/>
        <w:gridCol w:w="850"/>
        <w:gridCol w:w="992"/>
        <w:gridCol w:w="1134"/>
        <w:gridCol w:w="1134"/>
        <w:gridCol w:w="1134"/>
        <w:gridCol w:w="1134"/>
        <w:gridCol w:w="1276"/>
        <w:gridCol w:w="960"/>
      </w:tblGrid>
      <w:tr w:rsidR="007A7935" w:rsidRPr="007A7935" w:rsidTr="00BE070B">
        <w:trPr>
          <w:trHeight w:val="73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935" w:rsidRPr="007A7935" w:rsidRDefault="007A7935" w:rsidP="007A793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9C7E87">
              <w:rPr>
                <w:rFonts w:ascii="宋体" w:hAnsi="宋体" w:hint="eastAsia"/>
                <w:color w:val="000000"/>
                <w:szCs w:val="21"/>
              </w:rPr>
              <w:t>投资期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935" w:rsidRPr="007A7935" w:rsidRDefault="007A7935" w:rsidP="007A79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A793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1≤T＜7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935" w:rsidRPr="007A7935" w:rsidRDefault="007A7935" w:rsidP="007A79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A793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7≤T＜14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935" w:rsidRPr="007A7935" w:rsidRDefault="007A7935" w:rsidP="007A79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A793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14≤T＜30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935" w:rsidRPr="007A7935" w:rsidRDefault="007A7935" w:rsidP="007A79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A793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30≤T＜60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935" w:rsidRPr="007A7935" w:rsidRDefault="007A7935" w:rsidP="007A79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A793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60≤T＜90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935" w:rsidRPr="007A7935" w:rsidRDefault="007A7935" w:rsidP="007A79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A793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90≤T＜180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935" w:rsidRPr="007A7935" w:rsidRDefault="007A7935" w:rsidP="007A79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A793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180≤T＜365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935" w:rsidRPr="007A7935" w:rsidRDefault="007A7935" w:rsidP="007A79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T</w:t>
            </w:r>
            <w:r w:rsidRPr="007A793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≥365</w:t>
            </w:r>
          </w:p>
        </w:tc>
      </w:tr>
      <w:tr w:rsidR="007A7935" w:rsidRPr="007A7935" w:rsidTr="00BE070B">
        <w:trPr>
          <w:trHeight w:val="69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935" w:rsidRPr="007A7935" w:rsidRDefault="007A7935" w:rsidP="007A7935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 w:rsidRPr="007A7935"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客户预期年化收益率（调整前）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935" w:rsidRPr="007A7935" w:rsidRDefault="007A7935" w:rsidP="007A79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A793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2.30%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935" w:rsidRPr="007A7935" w:rsidRDefault="007A7935" w:rsidP="007A79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A793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2.40%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935" w:rsidRPr="007A7935" w:rsidRDefault="007A7935" w:rsidP="007A79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A793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2.50%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935" w:rsidRPr="007A7935" w:rsidRDefault="007A7935" w:rsidP="007A79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A793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3.00%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935" w:rsidRPr="007A7935" w:rsidRDefault="007A7935" w:rsidP="007A79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A793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3.20%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935" w:rsidRPr="007A7935" w:rsidRDefault="007A7935" w:rsidP="007A79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A793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3.35%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935" w:rsidRPr="007A7935" w:rsidRDefault="007A7935" w:rsidP="007A79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A793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3.60%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935" w:rsidRPr="007A7935" w:rsidRDefault="007A7935" w:rsidP="007A79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A793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3.70%</w:t>
            </w:r>
          </w:p>
        </w:tc>
      </w:tr>
      <w:tr w:rsidR="007A7935" w:rsidRPr="007A7935" w:rsidTr="00BE070B">
        <w:trPr>
          <w:trHeight w:val="2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935" w:rsidRPr="007A7935" w:rsidRDefault="007A7935" w:rsidP="007A7935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</w:pPr>
            <w:r w:rsidRPr="007A7935"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</w:rPr>
              <w:t>客户预期年化收益率（调整后）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935" w:rsidRPr="007A7935" w:rsidRDefault="007A7935" w:rsidP="007A79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A793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2.80%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935" w:rsidRPr="007A7935" w:rsidRDefault="007A7935" w:rsidP="007A79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A793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2.90%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935" w:rsidRPr="007A7935" w:rsidRDefault="007A7935" w:rsidP="007A79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A793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3.00%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935" w:rsidRPr="007A7935" w:rsidRDefault="007A7935" w:rsidP="007A79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A793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3.10%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935" w:rsidRPr="007A7935" w:rsidRDefault="007A7935" w:rsidP="007A79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A793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3.30%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935" w:rsidRPr="007A7935" w:rsidRDefault="007A7935" w:rsidP="007A79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A793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3.50%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935" w:rsidRPr="007A7935" w:rsidRDefault="007A7935" w:rsidP="007A79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A793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3.70%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935" w:rsidRPr="007A7935" w:rsidRDefault="007A7935" w:rsidP="007A79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A793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3.90%</w:t>
            </w:r>
          </w:p>
        </w:tc>
      </w:tr>
    </w:tbl>
    <w:p w:rsidR="00BE070B" w:rsidRDefault="00BE070B" w:rsidP="00BE070B">
      <w:pPr>
        <w:spacing w:line="480" w:lineRule="exact"/>
        <w:ind w:firstLine="420"/>
        <w:rPr>
          <w:rFonts w:ascii="宋体" w:hAnsi="宋体"/>
          <w:color w:val="000000"/>
          <w:szCs w:val="21"/>
        </w:rPr>
      </w:pPr>
      <w:r w:rsidRPr="009C7E87">
        <w:rPr>
          <w:rFonts w:ascii="宋体" w:hAnsi="宋体" w:hint="eastAsia"/>
          <w:color w:val="000000"/>
          <w:szCs w:val="21"/>
        </w:rPr>
        <w:t>其中： T为投资期，单位：天</w:t>
      </w:r>
    </w:p>
    <w:p w:rsidR="007A7935" w:rsidRPr="009C7E87" w:rsidRDefault="00BE070B" w:rsidP="007A7935">
      <w:pPr>
        <w:ind w:firstLineChars="200" w:firstLine="560"/>
        <w:jc w:val="left"/>
        <w:rPr>
          <w:rFonts w:ascii="宋体" w:hAnsi="宋体"/>
          <w:color w:val="000000"/>
          <w:sz w:val="28"/>
          <w:szCs w:val="28"/>
        </w:rPr>
      </w:pPr>
      <w:r w:rsidRPr="00BE070B">
        <w:rPr>
          <w:rFonts w:ascii="宋体" w:hAnsi="宋体" w:hint="eastAsia"/>
          <w:color w:val="000000"/>
          <w:sz w:val="28"/>
          <w:szCs w:val="28"/>
        </w:rPr>
        <w:t>新客户预期年化收益率于2018年1月22日（含）起执行。对于2018年1月22日（不含）前已经购买成功且未赎回的所有存量客户投资本金，按照客户实际持有天数，其中2018年1月22日（不含）前持有部分执行原客户预期年化收益率，2018年1月22日（含）后持有部分</w:t>
      </w:r>
      <w:r w:rsidRPr="007367C1">
        <w:rPr>
          <w:rFonts w:ascii="宋体" w:hAnsi="宋体" w:hint="eastAsia"/>
          <w:bCs/>
          <w:sz w:val="28"/>
          <w:szCs w:val="28"/>
        </w:rPr>
        <w:t>自动执行新客户预期年化收益率</w:t>
      </w:r>
      <w:r w:rsidRPr="00BE070B">
        <w:rPr>
          <w:rFonts w:ascii="宋体" w:hAnsi="宋体" w:hint="eastAsia"/>
          <w:color w:val="000000"/>
          <w:sz w:val="28"/>
          <w:szCs w:val="28"/>
        </w:rPr>
        <w:t>，但以最终支付的实际年化收益率为准</w:t>
      </w:r>
      <w:r w:rsidR="00EA1F92">
        <w:rPr>
          <w:rFonts w:ascii="宋体" w:hAnsi="宋体" w:hint="eastAsia"/>
          <w:color w:val="000000"/>
          <w:sz w:val="28"/>
          <w:szCs w:val="28"/>
        </w:rPr>
        <w:t>。</w:t>
      </w:r>
    </w:p>
    <w:p w:rsidR="00747E15" w:rsidRPr="00EE774A" w:rsidRDefault="00747E15" w:rsidP="00747E15">
      <w:pPr>
        <w:ind w:firstLineChars="200" w:firstLine="560"/>
        <w:jc w:val="left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相关收益及计算方法，请具体查阅对应的收益率调整公告及产品说明书。</w:t>
      </w:r>
    </w:p>
    <w:p w:rsidR="00747E15" w:rsidRPr="00986C29" w:rsidRDefault="00747E15" w:rsidP="00747E15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986C29">
        <w:rPr>
          <w:rFonts w:ascii="宋体" w:hAnsi="宋体" w:hint="eastAsia"/>
          <w:b/>
          <w:color w:val="000000"/>
          <w:sz w:val="28"/>
          <w:szCs w:val="28"/>
        </w:rPr>
        <w:lastRenderedPageBreak/>
        <w:t>二、产品投资组合详细情况</w:t>
      </w:r>
    </w:p>
    <w:p w:rsidR="00747E15" w:rsidRPr="00986C29" w:rsidRDefault="00747E15" w:rsidP="00747E15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986C29">
        <w:rPr>
          <w:rFonts w:ascii="宋体" w:hAnsi="宋体" w:hint="eastAsia"/>
          <w:b/>
          <w:color w:val="000000"/>
          <w:sz w:val="28"/>
          <w:szCs w:val="28"/>
        </w:rPr>
        <w:t>（一）投资组合的基本情况</w:t>
      </w:r>
    </w:p>
    <w:p w:rsidR="00747E15" w:rsidRPr="00986C29" w:rsidRDefault="00EA1F92" w:rsidP="00747E15">
      <w:pPr>
        <w:jc w:val="center"/>
        <w:rPr>
          <w:rFonts w:ascii="宋体" w:hAnsi="宋体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7D2C7C3E" wp14:editId="63721DDB">
            <wp:extent cx="4191000" cy="1828800"/>
            <wp:effectExtent l="38100" t="0" r="19050" b="19050"/>
            <wp:docPr id="2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747E15" w:rsidRPr="00986C29" w:rsidRDefault="00747E15" w:rsidP="00747E15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986C29">
        <w:rPr>
          <w:rFonts w:ascii="宋体" w:hAnsi="宋体" w:hint="eastAsia"/>
          <w:b/>
          <w:color w:val="000000"/>
          <w:sz w:val="28"/>
          <w:szCs w:val="28"/>
        </w:rPr>
        <w:t>（二）融资类资产的行内评级构成</w:t>
      </w:r>
    </w:p>
    <w:p w:rsidR="00747E15" w:rsidRPr="00986C29" w:rsidRDefault="00EA1F92" w:rsidP="00747E15">
      <w:pPr>
        <w:jc w:val="center"/>
        <w:rPr>
          <w:rFonts w:ascii="宋体" w:hAnsi="宋体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621DD03F" wp14:editId="7D5E216E">
            <wp:extent cx="4181475" cy="2028825"/>
            <wp:effectExtent l="0" t="0" r="9525" b="9525"/>
            <wp:docPr id="6" name="图表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747E15" w:rsidRPr="00986C29" w:rsidRDefault="00747E15" w:rsidP="00747E15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986C29">
        <w:rPr>
          <w:rFonts w:ascii="宋体" w:hAnsi="宋体" w:hint="eastAsia"/>
          <w:b/>
          <w:color w:val="000000"/>
          <w:sz w:val="28"/>
          <w:szCs w:val="28"/>
        </w:rPr>
        <w:t>（三</w:t>
      </w:r>
      <w:r w:rsidRPr="00986C29">
        <w:rPr>
          <w:rFonts w:ascii="宋体" w:hAnsi="宋体"/>
          <w:b/>
          <w:color w:val="000000"/>
          <w:sz w:val="28"/>
          <w:szCs w:val="28"/>
        </w:rPr>
        <w:t>）</w:t>
      </w:r>
      <w:r w:rsidRPr="00986C29">
        <w:rPr>
          <w:rFonts w:ascii="宋体" w:hAnsi="宋体" w:hint="eastAsia"/>
          <w:b/>
          <w:color w:val="000000"/>
          <w:sz w:val="28"/>
          <w:szCs w:val="28"/>
        </w:rPr>
        <w:t>融资类资产的行业占比构成及当月增减变化情况</w:t>
      </w:r>
    </w:p>
    <w:p w:rsidR="00747E15" w:rsidRPr="00986C29" w:rsidRDefault="00EA1F92" w:rsidP="00747E15">
      <w:pPr>
        <w:ind w:right="1190"/>
        <w:jc w:val="center"/>
        <w:rPr>
          <w:rFonts w:ascii="宋体" w:hAnsi="宋体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730DC4A8" wp14:editId="68118E9D">
            <wp:extent cx="5274310" cy="2646312"/>
            <wp:effectExtent l="0" t="0" r="21590" b="20955"/>
            <wp:docPr id="7" name="图表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747E15" w:rsidRPr="00986C29" w:rsidRDefault="00747E15" w:rsidP="00747E15">
      <w:pPr>
        <w:spacing w:line="480" w:lineRule="exact"/>
        <w:ind w:firstLineChars="197" w:firstLine="554"/>
        <w:outlineLvl w:val="0"/>
        <w:rPr>
          <w:rFonts w:ascii="宋体" w:hAnsi="宋体"/>
          <w:b/>
          <w:color w:val="000000"/>
          <w:sz w:val="28"/>
          <w:szCs w:val="28"/>
        </w:rPr>
      </w:pPr>
      <w:r w:rsidRPr="00986C29">
        <w:rPr>
          <w:rFonts w:ascii="宋体" w:hAnsi="宋体" w:hint="eastAsia"/>
          <w:b/>
          <w:color w:val="000000"/>
          <w:sz w:val="28"/>
          <w:szCs w:val="28"/>
        </w:rPr>
        <w:t>（四）投资类资产的行业占比构成及当月增减变化情况</w:t>
      </w:r>
    </w:p>
    <w:p w:rsidR="00747E15" w:rsidRDefault="00EA1F92" w:rsidP="00747E15">
      <w:pPr>
        <w:jc w:val="center"/>
        <w:rPr>
          <w:color w:val="000000"/>
        </w:rPr>
      </w:pPr>
      <w:r>
        <w:rPr>
          <w:noProof/>
        </w:rPr>
        <w:lastRenderedPageBreak/>
        <w:drawing>
          <wp:inline distT="0" distB="0" distL="0" distR="0" wp14:anchorId="11AA78FA" wp14:editId="4BECB43B">
            <wp:extent cx="5274310" cy="2807471"/>
            <wp:effectExtent l="0" t="0" r="21590" b="12065"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747E15" w:rsidRPr="00986C29" w:rsidRDefault="00747E15" w:rsidP="00747E15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986C29">
        <w:rPr>
          <w:rFonts w:ascii="宋体" w:hAnsi="宋体" w:hint="eastAsia"/>
          <w:b/>
          <w:color w:val="000000"/>
          <w:sz w:val="28"/>
          <w:szCs w:val="28"/>
        </w:rPr>
        <w:t>三、产品整体运作情况</w:t>
      </w:r>
    </w:p>
    <w:p w:rsidR="00747E15" w:rsidRPr="00986C29" w:rsidRDefault="00747E15" w:rsidP="00747E15">
      <w:pPr>
        <w:spacing w:line="480" w:lineRule="exact"/>
        <w:ind w:firstLineChars="150" w:firstLine="420"/>
        <w:rPr>
          <w:rFonts w:ascii="宋体" w:hAnsi="宋体"/>
          <w:color w:val="000000"/>
          <w:sz w:val="28"/>
          <w:szCs w:val="28"/>
        </w:rPr>
      </w:pPr>
      <w:r w:rsidRPr="00986C29">
        <w:rPr>
          <w:rFonts w:ascii="宋体" w:hAnsi="宋体" w:hint="eastAsia"/>
          <w:color w:val="000000"/>
          <w:sz w:val="28"/>
          <w:szCs w:val="28"/>
        </w:rPr>
        <w:t>（1）自本产品成立起至本报告日，产品管理人恪尽职守、勤勉尽责、谨慎管理，忠实履行有关法律、行政法规和相关文件的规定。</w:t>
      </w:r>
    </w:p>
    <w:p w:rsidR="00747E15" w:rsidRPr="00986C29" w:rsidRDefault="00747E15" w:rsidP="00747E15">
      <w:pPr>
        <w:spacing w:line="480" w:lineRule="exact"/>
        <w:ind w:firstLineChars="150" w:firstLine="420"/>
        <w:rPr>
          <w:rFonts w:ascii="宋体" w:hAnsi="宋体"/>
          <w:color w:val="000000"/>
          <w:sz w:val="28"/>
          <w:szCs w:val="28"/>
        </w:rPr>
      </w:pPr>
      <w:r w:rsidRPr="00986C29">
        <w:rPr>
          <w:rFonts w:ascii="宋体" w:hAnsi="宋体" w:hint="eastAsia"/>
          <w:color w:val="000000"/>
          <w:sz w:val="28"/>
          <w:szCs w:val="28"/>
        </w:rPr>
        <w:t>（2）截至本报告日，个别项目未能正常完全还本付息，但不影响按预期收益兑付客户。</w:t>
      </w:r>
    </w:p>
    <w:p w:rsidR="00747E15" w:rsidRPr="00986C29" w:rsidRDefault="00747E15" w:rsidP="00747E15">
      <w:pPr>
        <w:spacing w:line="480" w:lineRule="exact"/>
        <w:ind w:firstLineChars="150" w:firstLine="420"/>
        <w:rPr>
          <w:rFonts w:ascii="宋体" w:hAnsi="宋体"/>
          <w:color w:val="000000"/>
          <w:sz w:val="28"/>
          <w:szCs w:val="28"/>
        </w:rPr>
      </w:pPr>
      <w:r w:rsidRPr="00986C29">
        <w:rPr>
          <w:rFonts w:ascii="宋体" w:hAnsi="宋体" w:hint="eastAsia"/>
          <w:color w:val="000000"/>
          <w:sz w:val="28"/>
          <w:szCs w:val="28"/>
        </w:rPr>
        <w:t xml:space="preserve">（3）本产品自成立至本报告日，没有发生涉诉及诉讼等损害投资者利益的情形。                             </w:t>
      </w:r>
    </w:p>
    <w:p w:rsidR="00747E15" w:rsidRPr="00986C29" w:rsidRDefault="00747E15" w:rsidP="00747E15">
      <w:pPr>
        <w:spacing w:line="480" w:lineRule="exact"/>
        <w:ind w:firstLineChars="200" w:firstLine="560"/>
        <w:rPr>
          <w:rFonts w:ascii="宋体" w:hAnsi="宋体"/>
          <w:color w:val="000000"/>
          <w:sz w:val="28"/>
          <w:szCs w:val="28"/>
        </w:rPr>
      </w:pPr>
      <w:r w:rsidRPr="00986C29">
        <w:rPr>
          <w:rFonts w:ascii="宋体" w:hAnsi="宋体" w:hint="eastAsia"/>
          <w:color w:val="000000"/>
          <w:sz w:val="28"/>
          <w:szCs w:val="28"/>
        </w:rPr>
        <w:t xml:space="preserve">                                          中国建设银行</w:t>
      </w:r>
    </w:p>
    <w:p w:rsidR="00961315" w:rsidRPr="00BC19FE" w:rsidRDefault="00747E15" w:rsidP="00BC19FE">
      <w:pPr>
        <w:spacing w:line="480" w:lineRule="exact"/>
        <w:ind w:right="-58" w:firstLineChars="200" w:firstLine="560"/>
        <w:jc w:val="righ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201</w:t>
      </w:r>
      <w:r w:rsidR="00605150">
        <w:rPr>
          <w:rFonts w:ascii="宋体" w:hAnsi="宋体" w:hint="eastAsia"/>
          <w:color w:val="000000"/>
          <w:sz w:val="28"/>
          <w:szCs w:val="28"/>
        </w:rPr>
        <w:t>8</w:t>
      </w:r>
      <w:r w:rsidRPr="00986C29">
        <w:rPr>
          <w:rFonts w:ascii="宋体" w:hAnsi="宋体" w:hint="eastAsia"/>
          <w:color w:val="000000"/>
          <w:sz w:val="28"/>
          <w:szCs w:val="28"/>
        </w:rPr>
        <w:t>年</w:t>
      </w:r>
      <w:r w:rsidR="00D137A7">
        <w:rPr>
          <w:rFonts w:ascii="宋体" w:hAnsi="宋体" w:hint="eastAsia"/>
          <w:color w:val="000000"/>
          <w:sz w:val="28"/>
          <w:szCs w:val="28"/>
        </w:rPr>
        <w:t>2</w:t>
      </w:r>
      <w:r w:rsidRPr="00986C29">
        <w:rPr>
          <w:rFonts w:ascii="宋体" w:hAnsi="宋体" w:hint="eastAsia"/>
          <w:color w:val="000000"/>
          <w:sz w:val="28"/>
          <w:szCs w:val="28"/>
        </w:rPr>
        <w:t>月</w:t>
      </w:r>
      <w:r w:rsidR="00214670">
        <w:rPr>
          <w:rFonts w:ascii="宋体" w:hAnsi="宋体" w:hint="eastAsia"/>
          <w:color w:val="000000"/>
          <w:sz w:val="28"/>
          <w:szCs w:val="28"/>
        </w:rPr>
        <w:t>6</w:t>
      </w:r>
      <w:r w:rsidRPr="00986C29">
        <w:rPr>
          <w:rFonts w:ascii="宋体" w:hAnsi="宋体" w:hint="eastAsia"/>
          <w:color w:val="000000"/>
          <w:sz w:val="28"/>
          <w:szCs w:val="28"/>
        </w:rPr>
        <w:t>日</w:t>
      </w:r>
    </w:p>
    <w:p w:rsidR="00961315" w:rsidRPr="006317AB" w:rsidRDefault="00961315" w:rsidP="006317AB"/>
    <w:sectPr w:rsidR="00961315" w:rsidRPr="006317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0AE1" w:rsidRDefault="003F0AE1" w:rsidP="00747E15">
      <w:r>
        <w:separator/>
      </w:r>
    </w:p>
  </w:endnote>
  <w:endnote w:type="continuationSeparator" w:id="0">
    <w:p w:rsidR="003F0AE1" w:rsidRDefault="003F0AE1" w:rsidP="00747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0AE1" w:rsidRDefault="003F0AE1" w:rsidP="00747E15">
      <w:r>
        <w:separator/>
      </w:r>
    </w:p>
  </w:footnote>
  <w:footnote w:type="continuationSeparator" w:id="0">
    <w:p w:rsidR="003F0AE1" w:rsidRDefault="003F0AE1" w:rsidP="00747E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E4B"/>
    <w:rsid w:val="000F5E7E"/>
    <w:rsid w:val="00120E2F"/>
    <w:rsid w:val="00153C80"/>
    <w:rsid w:val="001E60BC"/>
    <w:rsid w:val="001F4173"/>
    <w:rsid w:val="00214670"/>
    <w:rsid w:val="00242AC8"/>
    <w:rsid w:val="00292733"/>
    <w:rsid w:val="002A0C80"/>
    <w:rsid w:val="002B5327"/>
    <w:rsid w:val="00333409"/>
    <w:rsid w:val="003F0AE1"/>
    <w:rsid w:val="004118B6"/>
    <w:rsid w:val="004340C8"/>
    <w:rsid w:val="00491FFA"/>
    <w:rsid w:val="00556FF5"/>
    <w:rsid w:val="005A7E4B"/>
    <w:rsid w:val="00605150"/>
    <w:rsid w:val="006317AB"/>
    <w:rsid w:val="006D216F"/>
    <w:rsid w:val="007367C1"/>
    <w:rsid w:val="00747E15"/>
    <w:rsid w:val="00774222"/>
    <w:rsid w:val="007A7935"/>
    <w:rsid w:val="007F05DC"/>
    <w:rsid w:val="00803A6A"/>
    <w:rsid w:val="00821DFE"/>
    <w:rsid w:val="008F50A7"/>
    <w:rsid w:val="009331AC"/>
    <w:rsid w:val="00961315"/>
    <w:rsid w:val="00987518"/>
    <w:rsid w:val="009A0441"/>
    <w:rsid w:val="009F16C9"/>
    <w:rsid w:val="00A20C0F"/>
    <w:rsid w:val="00A32E40"/>
    <w:rsid w:val="00A66F45"/>
    <w:rsid w:val="00AC6D43"/>
    <w:rsid w:val="00AD5E04"/>
    <w:rsid w:val="00B27892"/>
    <w:rsid w:val="00BC19FE"/>
    <w:rsid w:val="00BC6C87"/>
    <w:rsid w:val="00BE070B"/>
    <w:rsid w:val="00BF403D"/>
    <w:rsid w:val="00BF7077"/>
    <w:rsid w:val="00CC33AD"/>
    <w:rsid w:val="00D137A7"/>
    <w:rsid w:val="00D57BDC"/>
    <w:rsid w:val="00DB4B6B"/>
    <w:rsid w:val="00DC041F"/>
    <w:rsid w:val="00DC0BC9"/>
    <w:rsid w:val="00DE7BE6"/>
    <w:rsid w:val="00DF32AC"/>
    <w:rsid w:val="00E76F46"/>
    <w:rsid w:val="00EA1F92"/>
    <w:rsid w:val="00F21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E1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7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7E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7E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7E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47E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7E15"/>
    <w:rPr>
      <w:rFonts w:ascii="Calibri" w:eastAsia="宋体" w:hAnsi="Calibri" w:cs="Times New Roman"/>
      <w:sz w:val="18"/>
      <w:szCs w:val="18"/>
    </w:rPr>
  </w:style>
  <w:style w:type="character" w:styleId="a6">
    <w:name w:val="Strong"/>
    <w:basedOn w:val="a0"/>
    <w:uiPriority w:val="22"/>
    <w:qFormat/>
    <w:rsid w:val="007A793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E1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7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7E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7E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7E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47E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7E15"/>
    <w:rPr>
      <w:rFonts w:ascii="Calibri" w:eastAsia="宋体" w:hAnsi="Calibri" w:cs="Times New Roman"/>
      <w:sz w:val="18"/>
      <w:szCs w:val="18"/>
    </w:rPr>
  </w:style>
  <w:style w:type="character" w:styleId="a6">
    <w:name w:val="Strong"/>
    <w:basedOn w:val="a0"/>
    <w:uiPriority w:val="22"/>
    <w:qFormat/>
    <w:rsid w:val="007A79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11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26472;&#38639;&#29605;&#20132;&#25509;\&#24320;&#25918;&#24335;&#20135;&#21697;&#26376;&#24230;&#25259;&#38706;\201712\201801\2018&#24180;1&#26376;&#36164;&#20135;&#27719;&#24635;&#34920;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26472;&#38639;&#29605;&#20132;&#25509;\&#24320;&#25918;&#24335;&#20135;&#21697;&#26376;&#24230;&#25259;&#38706;\201712\201801\2018&#24180;1&#26376;&#36164;&#20135;&#27719;&#24635;&#34920;.xls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26472;&#38639;&#29605;&#20132;&#25509;\&#24320;&#25918;&#24335;&#20135;&#21697;&#26376;&#24230;&#25259;&#38706;\201712\201801\2018&#24180;1&#26376;&#36164;&#20135;&#27719;&#24635;&#34920;.xls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26472;&#38639;&#29605;&#20132;&#25509;\&#24320;&#25918;&#24335;&#20135;&#21697;&#26376;&#24230;&#25259;&#38706;\201712\201801\2018&#24180;1&#26376;&#36164;&#20135;&#27719;&#24635;&#34920;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2.0399316855243092E-2"/>
          <c:y val="4.1203593205976601E-2"/>
          <c:w val="0.6120956845245844"/>
          <c:h val="0.91049404625825081"/>
        </c:manualLayout>
      </c:layout>
      <c:pie3DChart>
        <c:varyColors val="1"/>
        <c:ser>
          <c:idx val="0"/>
          <c:order val="0"/>
          <c:dPt>
            <c:idx val="0"/>
            <c:bubble3D val="0"/>
          </c:dPt>
          <c:dPt>
            <c:idx val="1"/>
            <c:bubble3D val="0"/>
          </c:dPt>
          <c:dPt>
            <c:idx val="2"/>
            <c:bubble3D val="0"/>
          </c:dPt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'2018年1月'!$A$5:$A$7</c:f>
              <c:strCache>
                <c:ptCount val="3"/>
                <c:pt idx="0">
                  <c:v>现金及债券类</c:v>
                </c:pt>
                <c:pt idx="1">
                  <c:v>融资类</c:v>
                </c:pt>
                <c:pt idx="2">
                  <c:v>投资类及其他</c:v>
                </c:pt>
              </c:strCache>
            </c:strRef>
          </c:cat>
          <c:val>
            <c:numRef>
              <c:f>'2018年1月'!$B$5:$B$7</c:f>
              <c:numCache>
                <c:formatCode>0.00%</c:formatCode>
                <c:ptCount val="3"/>
                <c:pt idx="0">
                  <c:v>0.16516724453570478</c:v>
                </c:pt>
                <c:pt idx="1">
                  <c:v>4.5144332339618842E-2</c:v>
                </c:pt>
                <c:pt idx="2">
                  <c:v>0.78968842312511056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</c:spPr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dPt>
            <c:idx val="0"/>
            <c:bubble3D val="0"/>
          </c:dPt>
          <c:dPt>
            <c:idx val="1"/>
            <c:bubble3D val="0"/>
          </c:dPt>
          <c:dPt>
            <c:idx val="2"/>
            <c:bubble3D val="0"/>
          </c:dPt>
          <c:dPt>
            <c:idx val="3"/>
            <c:bubble3D val="0"/>
          </c:dPt>
          <c:dPt>
            <c:idx val="4"/>
            <c:bubble3D val="0"/>
          </c:dPt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'2018年1月'!$A$12:$A$16</c:f>
              <c:strCache>
                <c:ptCount val="5"/>
                <c:pt idx="0">
                  <c:v>AAA</c:v>
                </c:pt>
                <c:pt idx="1">
                  <c:v>AA+</c:v>
                </c:pt>
                <c:pt idx="2">
                  <c:v>AA-</c:v>
                </c:pt>
                <c:pt idx="3">
                  <c:v>AA</c:v>
                </c:pt>
                <c:pt idx="4">
                  <c:v>A+</c:v>
                </c:pt>
              </c:strCache>
            </c:strRef>
          </c:cat>
          <c:val>
            <c:numRef>
              <c:f>'2018年1月'!$B$12:$B$16</c:f>
              <c:numCache>
                <c:formatCode>0.00%</c:formatCode>
                <c:ptCount val="5"/>
                <c:pt idx="0">
                  <c:v>9.1611202954208298E-2</c:v>
                </c:pt>
                <c:pt idx="1">
                  <c:v>0.19632512533957322</c:v>
                </c:pt>
                <c:pt idx="2">
                  <c:v>0.37922158759769331</c:v>
                </c:pt>
                <c:pt idx="3">
                  <c:v>0.32202165028649632</c:v>
                </c:pt>
                <c:pt idx="4">
                  <c:v>1.0820433822028973E-2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</c:spPr>
    </c:plotArea>
    <c:legend>
      <c:legendPos val="r"/>
      <c:legendEntry>
        <c:idx val="4"/>
        <c:delete val="1"/>
      </c:legendEntry>
      <c:layout>
        <c:manualLayout>
          <c:xMode val="edge"/>
          <c:yMode val="edge"/>
          <c:x val="0.76530534948954154"/>
          <c:y val="0.27360960161669934"/>
          <c:w val="0.122279578378443"/>
          <c:h val="0.45278030387046692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24064944048058975"/>
          <c:y val="5.0999132667811774E-2"/>
          <c:w val="0.61104921259842515"/>
          <c:h val="0.83309419655876349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'2018年1月'!$B$20</c:f>
              <c:strCache>
                <c:ptCount val="1"/>
                <c:pt idx="0">
                  <c:v>1月各行业</c:v>
                </c:pt>
              </c:strCache>
            </c:strRef>
          </c:tx>
          <c:invertIfNegative val="0"/>
          <c:cat>
            <c:strRef>
              <c:f>'2018年1月'!$A$21:$A$31</c:f>
              <c:strCache>
                <c:ptCount val="11"/>
                <c:pt idx="0">
                  <c:v>采矿业</c:v>
                </c:pt>
                <c:pt idx="1">
                  <c:v>电力、热力、燃气及水生产和供应业</c:v>
                </c:pt>
                <c:pt idx="2">
                  <c:v>房地产业</c:v>
                </c:pt>
                <c:pt idx="3">
                  <c:v>公共管理、社会保障和社会组织</c:v>
                </c:pt>
                <c:pt idx="4">
                  <c:v>建筑业</c:v>
                </c:pt>
                <c:pt idx="5">
                  <c:v>交通运输、仓储和邮政业</c:v>
                </c:pt>
                <c:pt idx="6">
                  <c:v>金融业</c:v>
                </c:pt>
                <c:pt idx="7">
                  <c:v>水利、环境和公共设施管理业</c:v>
                </c:pt>
                <c:pt idx="8">
                  <c:v>制造业</c:v>
                </c:pt>
                <c:pt idx="9">
                  <c:v>综合</c:v>
                </c:pt>
                <c:pt idx="10">
                  <c:v>租赁和商务服务业</c:v>
                </c:pt>
              </c:strCache>
            </c:strRef>
          </c:cat>
          <c:val>
            <c:numRef>
              <c:f>'2018年1月'!$B$21:$B$31</c:f>
              <c:numCache>
                <c:formatCode>0.00%</c:formatCode>
                <c:ptCount val="11"/>
                <c:pt idx="0">
                  <c:v>0.59223832642691054</c:v>
                </c:pt>
                <c:pt idx="1">
                  <c:v>1.8034056370048286E-3</c:v>
                </c:pt>
                <c:pt idx="2">
                  <c:v>8.295665930222211E-2</c:v>
                </c:pt>
                <c:pt idx="3">
                  <c:v>0</c:v>
                </c:pt>
                <c:pt idx="4">
                  <c:v>4.1225852861930382E-2</c:v>
                </c:pt>
                <c:pt idx="5">
                  <c:v>7.2136225480193142E-3</c:v>
                </c:pt>
                <c:pt idx="6">
                  <c:v>0</c:v>
                </c:pt>
                <c:pt idx="7">
                  <c:v>3.3801883244497587E-2</c:v>
                </c:pt>
                <c:pt idx="8">
                  <c:v>0.19483670577365095</c:v>
                </c:pt>
                <c:pt idx="9">
                  <c:v>1.5280075621778211E-2</c:v>
                </c:pt>
                <c:pt idx="10">
                  <c:v>3.0643468583986047E-2</c:v>
                </c:pt>
              </c:numCache>
            </c:numRef>
          </c:val>
        </c:ser>
        <c:ser>
          <c:idx val="1"/>
          <c:order val="1"/>
          <c:tx>
            <c:strRef>
              <c:f>'2018年1月'!$C$20</c:f>
              <c:strCache>
                <c:ptCount val="1"/>
                <c:pt idx="0">
                  <c:v>12月各行业</c:v>
                </c:pt>
              </c:strCache>
            </c:strRef>
          </c:tx>
          <c:invertIfNegative val="0"/>
          <c:cat>
            <c:strRef>
              <c:f>'2018年1月'!$A$21:$A$31</c:f>
              <c:strCache>
                <c:ptCount val="11"/>
                <c:pt idx="0">
                  <c:v>采矿业</c:v>
                </c:pt>
                <c:pt idx="1">
                  <c:v>电力、热力、燃气及水生产和供应业</c:v>
                </c:pt>
                <c:pt idx="2">
                  <c:v>房地产业</c:v>
                </c:pt>
                <c:pt idx="3">
                  <c:v>公共管理、社会保障和社会组织</c:v>
                </c:pt>
                <c:pt idx="4">
                  <c:v>建筑业</c:v>
                </c:pt>
                <c:pt idx="5">
                  <c:v>交通运输、仓储和邮政业</c:v>
                </c:pt>
                <c:pt idx="6">
                  <c:v>金融业</c:v>
                </c:pt>
                <c:pt idx="7">
                  <c:v>水利、环境和公共设施管理业</c:v>
                </c:pt>
                <c:pt idx="8">
                  <c:v>制造业</c:v>
                </c:pt>
                <c:pt idx="9">
                  <c:v>综合</c:v>
                </c:pt>
                <c:pt idx="10">
                  <c:v>租赁和商务服务业</c:v>
                </c:pt>
              </c:strCache>
            </c:strRef>
          </c:cat>
          <c:val>
            <c:numRef>
              <c:f>'2018年1月'!$C$21:$C$31</c:f>
              <c:numCache>
                <c:formatCode>0.00%</c:formatCode>
                <c:ptCount val="11"/>
                <c:pt idx="0">
                  <c:v>0.23178910821515605</c:v>
                </c:pt>
                <c:pt idx="1">
                  <c:v>6.6339192729412359E-4</c:v>
                </c:pt>
                <c:pt idx="2">
                  <c:v>3.3169596364706184E-2</c:v>
                </c:pt>
                <c:pt idx="3">
                  <c:v>2.719906901905907E-2</c:v>
                </c:pt>
                <c:pt idx="4">
                  <c:v>2.3218717455294326E-3</c:v>
                </c:pt>
                <c:pt idx="5">
                  <c:v>3.7149947928470921E-2</c:v>
                </c:pt>
                <c:pt idx="6">
                  <c:v>5.1767695147913372E-2</c:v>
                </c:pt>
                <c:pt idx="7">
                  <c:v>8.3089652547459994E-2</c:v>
                </c:pt>
                <c:pt idx="8">
                  <c:v>0.30981296979390383</c:v>
                </c:pt>
                <c:pt idx="9">
                  <c:v>1.7911582036941338E-2</c:v>
                </c:pt>
                <c:pt idx="10">
                  <c:v>0.20512511527356572</c:v>
                </c:pt>
              </c:numCache>
            </c:numRef>
          </c:val>
        </c:ser>
        <c:ser>
          <c:idx val="2"/>
          <c:order val="2"/>
          <c:tx>
            <c:strRef>
              <c:f>'2018年1月'!$D$20</c:f>
              <c:strCache>
                <c:ptCount val="1"/>
                <c:pt idx="0">
                  <c:v>行业变化</c:v>
                </c:pt>
              </c:strCache>
            </c:strRef>
          </c:tx>
          <c:invertIfNegative val="0"/>
          <c:cat>
            <c:strRef>
              <c:f>'2018年1月'!$A$21:$A$31</c:f>
              <c:strCache>
                <c:ptCount val="11"/>
                <c:pt idx="0">
                  <c:v>采矿业</c:v>
                </c:pt>
                <c:pt idx="1">
                  <c:v>电力、热力、燃气及水生产和供应业</c:v>
                </c:pt>
                <c:pt idx="2">
                  <c:v>房地产业</c:v>
                </c:pt>
                <c:pt idx="3">
                  <c:v>公共管理、社会保障和社会组织</c:v>
                </c:pt>
                <c:pt idx="4">
                  <c:v>建筑业</c:v>
                </c:pt>
                <c:pt idx="5">
                  <c:v>交通运输、仓储和邮政业</c:v>
                </c:pt>
                <c:pt idx="6">
                  <c:v>金融业</c:v>
                </c:pt>
                <c:pt idx="7">
                  <c:v>水利、环境和公共设施管理业</c:v>
                </c:pt>
                <c:pt idx="8">
                  <c:v>制造业</c:v>
                </c:pt>
                <c:pt idx="9">
                  <c:v>综合</c:v>
                </c:pt>
                <c:pt idx="10">
                  <c:v>租赁和商务服务业</c:v>
                </c:pt>
              </c:strCache>
            </c:strRef>
          </c:cat>
          <c:val>
            <c:numRef>
              <c:f>'2018年1月'!$D$21:$D$31</c:f>
              <c:numCache>
                <c:formatCode>0.00%</c:formatCode>
                <c:ptCount val="11"/>
                <c:pt idx="0">
                  <c:v>0.36044921821175446</c:v>
                </c:pt>
                <c:pt idx="1">
                  <c:v>1.140013709710705E-3</c:v>
                </c:pt>
                <c:pt idx="2">
                  <c:v>4.9787062937515926E-2</c:v>
                </c:pt>
                <c:pt idx="3">
                  <c:v>-2.719906901905907E-2</c:v>
                </c:pt>
                <c:pt idx="4">
                  <c:v>3.8903981116400949E-2</c:v>
                </c:pt>
                <c:pt idx="5">
                  <c:v>-2.9936325380451607E-2</c:v>
                </c:pt>
                <c:pt idx="6">
                  <c:v>-5.1767695147913372E-2</c:v>
                </c:pt>
                <c:pt idx="7">
                  <c:v>-4.9287769302962407E-2</c:v>
                </c:pt>
                <c:pt idx="8">
                  <c:v>-0.11497626402025288</c:v>
                </c:pt>
                <c:pt idx="9">
                  <c:v>-2.6315064151631266E-3</c:v>
                </c:pt>
                <c:pt idx="10">
                  <c:v>-0.17448164668957966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4883968"/>
        <c:axId val="134885760"/>
      </c:barChart>
      <c:catAx>
        <c:axId val="134883968"/>
        <c:scaling>
          <c:orientation val="minMax"/>
        </c:scaling>
        <c:delete val="0"/>
        <c:axPos val="l"/>
        <c:numFmt formatCode="#,##0_);[Red]\(#,##0\)" sourceLinked="0"/>
        <c:majorTickMark val="in"/>
        <c:minorTickMark val="in"/>
        <c:tickLblPos val="nextTo"/>
        <c:txPr>
          <a:bodyPr/>
          <a:lstStyle/>
          <a:p>
            <a:pPr>
              <a:defRPr sz="800" baseline="0"/>
            </a:pPr>
            <a:endParaRPr lang="zh-CN"/>
          </a:p>
        </c:txPr>
        <c:crossAx val="134885760"/>
        <c:crosses val="autoZero"/>
        <c:auto val="0"/>
        <c:lblAlgn val="ctr"/>
        <c:lblOffset val="0"/>
        <c:noMultiLvlLbl val="0"/>
      </c:catAx>
      <c:valAx>
        <c:axId val="134885760"/>
        <c:scaling>
          <c:orientation val="minMax"/>
          <c:min val="-0.2"/>
        </c:scaling>
        <c:delete val="0"/>
        <c:axPos val="b"/>
        <c:majorGridlines/>
        <c:numFmt formatCode="0%" sourceLinked="0"/>
        <c:majorTickMark val="out"/>
        <c:minorTickMark val="none"/>
        <c:tickLblPos val="nextTo"/>
        <c:crossAx val="134883968"/>
        <c:crosses val="autoZero"/>
        <c:crossBetween val="between"/>
        <c:majorUnit val="0.1"/>
      </c:valAx>
    </c:plotArea>
    <c:legend>
      <c:legendPos val="r"/>
      <c:overlay val="0"/>
    </c:legend>
    <c:plotVisOnly val="1"/>
    <c:dispBlanksAs val="gap"/>
    <c:showDLblsOverMax val="0"/>
  </c:chart>
  <c:txPr>
    <a:bodyPr/>
    <a:lstStyle/>
    <a:p>
      <a:pPr>
        <a:defRPr baseline="0"/>
      </a:pPr>
      <a:endParaRPr lang="zh-CN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'2018年1月'!$B$39</c:f>
              <c:strCache>
                <c:ptCount val="1"/>
                <c:pt idx="0">
                  <c:v>1月各行业</c:v>
                </c:pt>
              </c:strCache>
            </c:strRef>
          </c:tx>
          <c:invertIfNegative val="0"/>
          <c:cat>
            <c:strRef>
              <c:f>'2018年1月'!$A$40:$A$49</c:f>
              <c:strCache>
                <c:ptCount val="10"/>
                <c:pt idx="0">
                  <c:v>采矿业</c:v>
                </c:pt>
                <c:pt idx="1">
                  <c:v>电力、热力、燃气及水生产和供应业</c:v>
                </c:pt>
                <c:pt idx="2">
                  <c:v>交通运输、仓储和邮政业</c:v>
                </c:pt>
                <c:pt idx="3">
                  <c:v>金融业</c:v>
                </c:pt>
                <c:pt idx="4">
                  <c:v>农、林、牧、渔业</c:v>
                </c:pt>
                <c:pt idx="5">
                  <c:v>水利、环境和公共设施管理业</c:v>
                </c:pt>
                <c:pt idx="6">
                  <c:v>制造业</c:v>
                </c:pt>
                <c:pt idx="7">
                  <c:v>综合</c:v>
                </c:pt>
                <c:pt idx="8">
                  <c:v>租赁和商务服务业</c:v>
                </c:pt>
                <c:pt idx="9">
                  <c:v>建筑业</c:v>
                </c:pt>
              </c:strCache>
            </c:strRef>
          </c:cat>
          <c:val>
            <c:numRef>
              <c:f>'2018年1月'!$B$40:$B$48</c:f>
              <c:numCache>
                <c:formatCode>0.00%</c:formatCode>
                <c:ptCount val="9"/>
                <c:pt idx="0">
                  <c:v>3.7176201259113646E-2</c:v>
                </c:pt>
                <c:pt idx="1">
                  <c:v>6.0342896956727302E-2</c:v>
                </c:pt>
                <c:pt idx="2">
                  <c:v>1.8662751636101226E-2</c:v>
                </c:pt>
                <c:pt idx="3">
                  <c:v>0.67559160922686445</c:v>
                </c:pt>
                <c:pt idx="4">
                  <c:v>0</c:v>
                </c:pt>
                <c:pt idx="5">
                  <c:v>4.9841988702814345E-2</c:v>
                </c:pt>
                <c:pt idx="6">
                  <c:v>0.15552293030084355</c:v>
                </c:pt>
                <c:pt idx="7">
                  <c:v>1.8662751636101228E-3</c:v>
                </c:pt>
                <c:pt idx="8">
                  <c:v>9.9534675392539871E-4</c:v>
                </c:pt>
              </c:numCache>
            </c:numRef>
          </c:val>
        </c:ser>
        <c:ser>
          <c:idx val="1"/>
          <c:order val="1"/>
          <c:tx>
            <c:strRef>
              <c:f>'2018年1月'!$C$39</c:f>
              <c:strCache>
                <c:ptCount val="1"/>
                <c:pt idx="0">
                  <c:v>12月各行业</c:v>
                </c:pt>
              </c:strCache>
            </c:strRef>
          </c:tx>
          <c:invertIfNegative val="0"/>
          <c:cat>
            <c:strRef>
              <c:f>'2018年1月'!$A$40:$A$49</c:f>
              <c:strCache>
                <c:ptCount val="10"/>
                <c:pt idx="0">
                  <c:v>采矿业</c:v>
                </c:pt>
                <c:pt idx="1">
                  <c:v>电力、热力、燃气及水生产和供应业</c:v>
                </c:pt>
                <c:pt idx="2">
                  <c:v>交通运输、仓储和邮政业</c:v>
                </c:pt>
                <c:pt idx="3">
                  <c:v>金融业</c:v>
                </c:pt>
                <c:pt idx="4">
                  <c:v>农、林、牧、渔业</c:v>
                </c:pt>
                <c:pt idx="5">
                  <c:v>水利、环境和公共设施管理业</c:v>
                </c:pt>
                <c:pt idx="6">
                  <c:v>制造业</c:v>
                </c:pt>
                <c:pt idx="7">
                  <c:v>综合</c:v>
                </c:pt>
                <c:pt idx="8">
                  <c:v>租赁和商务服务业</c:v>
                </c:pt>
                <c:pt idx="9">
                  <c:v>建筑业</c:v>
                </c:pt>
              </c:strCache>
            </c:strRef>
          </c:cat>
          <c:val>
            <c:numRef>
              <c:f>'2018年1月'!$C$40:$C$49</c:f>
              <c:numCache>
                <c:formatCode>0.00%</c:formatCode>
                <c:ptCount val="10"/>
                <c:pt idx="0">
                  <c:v>1.8761655395859625E-2</c:v>
                </c:pt>
                <c:pt idx="1">
                  <c:v>7.5348013637990471E-3</c:v>
                </c:pt>
                <c:pt idx="2">
                  <c:v>9.4185017047488089E-3</c:v>
                </c:pt>
                <c:pt idx="3">
                  <c:v>0.34094976171190688</c:v>
                </c:pt>
                <c:pt idx="4">
                  <c:v>6.9069012501491263E-3</c:v>
                </c:pt>
                <c:pt idx="5">
                  <c:v>9.7927301724841612E-2</c:v>
                </c:pt>
                <c:pt idx="6">
                  <c:v>7.3464313297040701E-2</c:v>
                </c:pt>
                <c:pt idx="7">
                  <c:v>7.5661963694815426E-2</c:v>
                </c:pt>
                <c:pt idx="8">
                  <c:v>0.35053779644734118</c:v>
                </c:pt>
                <c:pt idx="9">
                  <c:v>1.8837003409497618E-2</c:v>
                </c:pt>
              </c:numCache>
            </c:numRef>
          </c:val>
        </c:ser>
        <c:ser>
          <c:idx val="2"/>
          <c:order val="2"/>
          <c:tx>
            <c:strRef>
              <c:f>'2018年1月'!$D$39</c:f>
              <c:strCache>
                <c:ptCount val="1"/>
                <c:pt idx="0">
                  <c:v>行业变化</c:v>
                </c:pt>
              </c:strCache>
            </c:strRef>
          </c:tx>
          <c:invertIfNegative val="0"/>
          <c:cat>
            <c:strRef>
              <c:f>'2018年1月'!$A$40:$A$49</c:f>
              <c:strCache>
                <c:ptCount val="10"/>
                <c:pt idx="0">
                  <c:v>采矿业</c:v>
                </c:pt>
                <c:pt idx="1">
                  <c:v>电力、热力、燃气及水生产和供应业</c:v>
                </c:pt>
                <c:pt idx="2">
                  <c:v>交通运输、仓储和邮政业</c:v>
                </c:pt>
                <c:pt idx="3">
                  <c:v>金融业</c:v>
                </c:pt>
                <c:pt idx="4">
                  <c:v>农、林、牧、渔业</c:v>
                </c:pt>
                <c:pt idx="5">
                  <c:v>水利、环境和公共设施管理业</c:v>
                </c:pt>
                <c:pt idx="6">
                  <c:v>制造业</c:v>
                </c:pt>
                <c:pt idx="7">
                  <c:v>综合</c:v>
                </c:pt>
                <c:pt idx="8">
                  <c:v>租赁和商务服务业</c:v>
                </c:pt>
                <c:pt idx="9">
                  <c:v>建筑业</c:v>
                </c:pt>
              </c:strCache>
            </c:strRef>
          </c:cat>
          <c:val>
            <c:numRef>
              <c:f>'2018年1月'!$D$40:$D$49</c:f>
              <c:numCache>
                <c:formatCode>0.00%</c:formatCode>
                <c:ptCount val="10"/>
                <c:pt idx="0">
                  <c:v>1.8414545863254021E-2</c:v>
                </c:pt>
                <c:pt idx="1">
                  <c:v>5.2808095592928254E-2</c:v>
                </c:pt>
                <c:pt idx="2">
                  <c:v>9.2442499313524166E-3</c:v>
                </c:pt>
                <c:pt idx="3">
                  <c:v>0.33464184751495757</c:v>
                </c:pt>
                <c:pt idx="4">
                  <c:v>-6.9069012501491263E-3</c:v>
                </c:pt>
                <c:pt idx="5">
                  <c:v>-4.8085313022027266E-2</c:v>
                </c:pt>
                <c:pt idx="6">
                  <c:v>8.2058617003802847E-2</c:v>
                </c:pt>
                <c:pt idx="7">
                  <c:v>-7.37956885312053E-2</c:v>
                </c:pt>
                <c:pt idx="8">
                  <c:v>-0.3495424496934158</c:v>
                </c:pt>
                <c:pt idx="9">
                  <c:v>-1.8837003409497618E-2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4919680"/>
        <c:axId val="134921216"/>
      </c:barChart>
      <c:catAx>
        <c:axId val="134919680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134921216"/>
        <c:crosses val="autoZero"/>
        <c:auto val="1"/>
        <c:lblAlgn val="ctr"/>
        <c:lblOffset val="100"/>
        <c:noMultiLvlLbl val="0"/>
      </c:catAx>
      <c:valAx>
        <c:axId val="134921216"/>
        <c:scaling>
          <c:orientation val="minMax"/>
          <c:max val="0.8"/>
          <c:min val="-0.8"/>
        </c:scaling>
        <c:delete val="0"/>
        <c:axPos val="b"/>
        <c:majorGridlines/>
        <c:numFmt formatCode="0%" sourceLinked="0"/>
        <c:majorTickMark val="out"/>
        <c:minorTickMark val="none"/>
        <c:tickLblPos val="nextTo"/>
        <c:crossAx val="134919680"/>
        <c:crosses val="autoZero"/>
        <c:crossBetween val="between"/>
        <c:majorUnit val="0.2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144</Words>
  <Characters>825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admin</cp:lastModifiedBy>
  <cp:revision>8</cp:revision>
  <dcterms:created xsi:type="dcterms:W3CDTF">2018-02-02T13:46:00Z</dcterms:created>
  <dcterms:modified xsi:type="dcterms:W3CDTF">2018-02-06T02:41:00Z</dcterms:modified>
</cp:coreProperties>
</file>