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281" w:rsidRDefault="002D31BD" w:rsidP="00CA3281">
      <w:pPr>
        <w:jc w:val="center"/>
        <w:rPr>
          <w:b/>
          <w:color w:val="000000"/>
          <w:sz w:val="32"/>
          <w:szCs w:val="32"/>
        </w:rPr>
      </w:pPr>
      <w:bookmarkStart w:id="0" w:name="_GoBack"/>
      <w:bookmarkEnd w:id="0"/>
      <w:r w:rsidRPr="009378DF">
        <w:rPr>
          <w:rFonts w:hint="eastAsia"/>
          <w:b/>
          <w:color w:val="000000"/>
          <w:sz w:val="32"/>
          <w:szCs w:val="32"/>
        </w:rPr>
        <w:t xml:space="preserve"> </w:t>
      </w:r>
      <w:r w:rsidR="00CA3281" w:rsidRPr="009378DF">
        <w:rPr>
          <w:rFonts w:hint="eastAsia"/>
          <w:b/>
          <w:color w:val="000000"/>
          <w:sz w:val="32"/>
          <w:szCs w:val="32"/>
        </w:rPr>
        <w:t>“乾元—满溢”</w:t>
      </w:r>
      <w:r w:rsidR="00CA3281" w:rsidRPr="009378DF">
        <w:rPr>
          <w:rFonts w:hint="eastAsia"/>
          <w:b/>
          <w:color w:val="000000"/>
          <w:sz w:val="32"/>
          <w:szCs w:val="32"/>
        </w:rPr>
        <w:t>30</w:t>
      </w:r>
      <w:r w:rsidR="00CA3281" w:rsidRPr="009378DF">
        <w:rPr>
          <w:rFonts w:hint="eastAsia"/>
          <w:b/>
          <w:color w:val="000000"/>
          <w:sz w:val="32"/>
          <w:szCs w:val="32"/>
        </w:rPr>
        <w:t>天开放式资产组合型人民币理财产品</w:t>
      </w:r>
    </w:p>
    <w:p w:rsidR="00CA3281" w:rsidRPr="00EE774A" w:rsidRDefault="00CA3281" w:rsidP="00CA3281">
      <w:pPr>
        <w:jc w:val="center"/>
        <w:rPr>
          <w:b/>
          <w:color w:val="000000"/>
          <w:sz w:val="32"/>
          <w:szCs w:val="32"/>
        </w:rPr>
      </w:pPr>
      <w:r w:rsidRPr="009378DF">
        <w:rPr>
          <w:rFonts w:hint="eastAsia"/>
          <w:b/>
          <w:color w:val="000000"/>
          <w:sz w:val="32"/>
          <w:szCs w:val="32"/>
        </w:rPr>
        <w:t>（机构版）</w:t>
      </w:r>
      <w:r w:rsidRPr="00EE774A">
        <w:rPr>
          <w:rFonts w:hint="eastAsia"/>
          <w:b/>
          <w:color w:val="000000"/>
          <w:sz w:val="32"/>
          <w:szCs w:val="32"/>
        </w:rPr>
        <w:t>月度投资管理报告</w:t>
      </w:r>
    </w:p>
    <w:p w:rsidR="00CA3281" w:rsidRPr="00EE774A" w:rsidRDefault="00CA3281" w:rsidP="00CA3281">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A27A60">
        <w:rPr>
          <w:rFonts w:ascii="宋体" w:hAnsi="宋体" w:hint="eastAsia"/>
          <w:color w:val="000000"/>
          <w:szCs w:val="21"/>
        </w:rPr>
        <w:t>8</w:t>
      </w:r>
      <w:r w:rsidRPr="00EE774A">
        <w:rPr>
          <w:rFonts w:ascii="宋体" w:hAnsi="宋体" w:hint="eastAsia"/>
          <w:color w:val="000000"/>
          <w:szCs w:val="21"/>
        </w:rPr>
        <w:t>年</w:t>
      </w:r>
      <w:r w:rsidR="00AD4A45">
        <w:rPr>
          <w:rFonts w:ascii="宋体" w:hAnsi="宋体" w:hint="eastAsia"/>
          <w:color w:val="000000"/>
          <w:szCs w:val="21"/>
        </w:rPr>
        <w:t>1</w:t>
      </w:r>
      <w:r>
        <w:rPr>
          <w:rFonts w:ascii="宋体" w:hAnsi="宋体" w:hint="eastAsia"/>
          <w:color w:val="000000"/>
          <w:szCs w:val="21"/>
        </w:rPr>
        <w:t>月</w:t>
      </w:r>
      <w:r w:rsidR="00A27A60">
        <w:rPr>
          <w:rFonts w:ascii="宋体" w:hAnsi="宋体" w:hint="eastAsia"/>
          <w:color w:val="000000"/>
          <w:szCs w:val="21"/>
        </w:rPr>
        <w:t>31</w:t>
      </w:r>
      <w:r>
        <w:rPr>
          <w:rFonts w:ascii="宋体" w:hAnsi="宋体" w:hint="eastAsia"/>
          <w:color w:val="000000"/>
          <w:szCs w:val="21"/>
        </w:rPr>
        <w:t xml:space="preserve">日    </w:t>
      </w:r>
    </w:p>
    <w:p w:rsidR="00CA3281" w:rsidRPr="000A55B8" w:rsidRDefault="00CA3281" w:rsidP="00A27A60">
      <w:pPr>
        <w:ind w:firstLine="420"/>
        <w:rPr>
          <w:rFonts w:ascii="宋体" w:hAnsi="宋体"/>
          <w:color w:val="000000"/>
          <w:sz w:val="28"/>
          <w:szCs w:val="28"/>
        </w:rPr>
      </w:pPr>
      <w:r w:rsidRPr="000A55B8">
        <w:rPr>
          <w:rFonts w:ascii="宋体" w:hAnsi="宋体" w:hint="eastAsia"/>
          <w:color w:val="000000"/>
          <w:sz w:val="28"/>
          <w:szCs w:val="28"/>
        </w:rPr>
        <w:t>“乾元—满溢”30天开放式资产组合型人民币理财产品（机构版）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7</w:t>
      </w:r>
      <w:r w:rsidRPr="00EE774A">
        <w:rPr>
          <w:rFonts w:ascii="宋体" w:hAnsi="宋体" w:hint="eastAsia"/>
          <w:color w:val="000000"/>
          <w:sz w:val="28"/>
          <w:szCs w:val="28"/>
        </w:rPr>
        <w:t>年</w:t>
      </w:r>
      <w:r>
        <w:rPr>
          <w:rFonts w:ascii="宋体" w:hAnsi="宋体" w:hint="eastAsia"/>
          <w:color w:val="000000"/>
          <w:sz w:val="28"/>
          <w:szCs w:val="28"/>
        </w:rPr>
        <w:t>8</w:t>
      </w:r>
      <w:r w:rsidRPr="00EE774A">
        <w:rPr>
          <w:rFonts w:ascii="宋体" w:hAnsi="宋体" w:hint="eastAsia"/>
          <w:color w:val="000000"/>
          <w:sz w:val="28"/>
          <w:szCs w:val="28"/>
        </w:rPr>
        <w:t>月</w:t>
      </w:r>
      <w:r>
        <w:rPr>
          <w:rFonts w:ascii="宋体" w:hAnsi="宋体" w:hint="eastAsia"/>
          <w:color w:val="000000"/>
          <w:sz w:val="28"/>
          <w:szCs w:val="28"/>
        </w:rPr>
        <w:t>18</w:t>
      </w:r>
      <w:r w:rsidRPr="00EE774A">
        <w:rPr>
          <w:rFonts w:ascii="宋体" w:hAnsi="宋体" w:hint="eastAsia"/>
          <w:color w:val="000000"/>
          <w:sz w:val="28"/>
          <w:szCs w:val="28"/>
        </w:rPr>
        <w:t>日正式成立。截至报告日，本产品规模为</w:t>
      </w:r>
      <w:r w:rsidRPr="00A27A60">
        <w:rPr>
          <w:rFonts w:ascii="宋体" w:hAnsi="宋体" w:hint="eastAsia"/>
          <w:color w:val="000000"/>
          <w:sz w:val="28"/>
          <w:szCs w:val="28"/>
        </w:rPr>
        <w:t xml:space="preserve">                                         </w:t>
      </w:r>
      <w:r w:rsidR="00A27A60" w:rsidRPr="00A27A60">
        <w:rPr>
          <w:rFonts w:ascii="宋体" w:hAnsi="宋体" w:hint="eastAsia"/>
          <w:color w:val="000000"/>
          <w:sz w:val="28"/>
          <w:szCs w:val="28"/>
        </w:rPr>
        <w:t>3,326,681,970.00</w:t>
      </w:r>
      <w:r w:rsidRPr="00AD4A45">
        <w:rPr>
          <w:rFonts w:ascii="宋体" w:hAnsi="宋体" w:hint="eastAsia"/>
          <w:color w:val="000000"/>
          <w:sz w:val="28"/>
          <w:szCs w:val="28"/>
        </w:rPr>
        <w:t xml:space="preserve">元。  </w:t>
      </w:r>
    </w:p>
    <w:p w:rsidR="00CA3281" w:rsidRPr="00EE774A" w:rsidRDefault="00CA3281" w:rsidP="00CA3281">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A27A60" w:rsidRPr="00A27A60" w:rsidRDefault="00A27A60" w:rsidP="00A27A60">
      <w:pPr>
        <w:ind w:firstLine="420"/>
        <w:rPr>
          <w:rFonts w:ascii="宋体" w:hAnsi="宋体"/>
          <w:color w:val="000000"/>
          <w:sz w:val="28"/>
          <w:szCs w:val="28"/>
        </w:rPr>
      </w:pPr>
      <w:r w:rsidRPr="00A27A60">
        <w:rPr>
          <w:rFonts w:ascii="宋体" w:hAnsi="宋体" w:hint="eastAsia"/>
          <w:color w:val="000000"/>
          <w:sz w:val="28"/>
          <w:szCs w:val="28"/>
        </w:rPr>
        <w:t>中国建设银行于</w:t>
      </w:r>
      <w:r w:rsidRPr="00A27A60">
        <w:rPr>
          <w:rFonts w:ascii="宋体" w:hAnsi="宋体"/>
          <w:color w:val="000000"/>
          <w:sz w:val="28"/>
          <w:szCs w:val="28"/>
        </w:rPr>
        <w:t>2018</w:t>
      </w:r>
      <w:r w:rsidRPr="00A27A60">
        <w:rPr>
          <w:rFonts w:ascii="宋体" w:hAnsi="宋体" w:hint="eastAsia"/>
          <w:color w:val="000000"/>
          <w:sz w:val="28"/>
          <w:szCs w:val="28"/>
        </w:rPr>
        <w:t>年</w:t>
      </w:r>
      <w:r w:rsidRPr="00A27A60">
        <w:rPr>
          <w:rFonts w:ascii="宋体" w:hAnsi="宋体"/>
          <w:color w:val="000000"/>
          <w:sz w:val="28"/>
          <w:szCs w:val="28"/>
        </w:rPr>
        <w:t>1</w:t>
      </w:r>
      <w:r w:rsidRPr="00A27A60">
        <w:rPr>
          <w:rFonts w:ascii="宋体" w:hAnsi="宋体" w:hint="eastAsia"/>
          <w:color w:val="000000"/>
          <w:sz w:val="28"/>
          <w:szCs w:val="28"/>
        </w:rPr>
        <w:t>月</w:t>
      </w:r>
      <w:r w:rsidRPr="00A27A60">
        <w:rPr>
          <w:rFonts w:ascii="宋体" w:hAnsi="宋体"/>
          <w:color w:val="000000"/>
          <w:sz w:val="28"/>
          <w:szCs w:val="28"/>
        </w:rPr>
        <w:t>22</w:t>
      </w:r>
      <w:r w:rsidRPr="00A27A60">
        <w:rPr>
          <w:rFonts w:ascii="宋体" w:hAnsi="宋体" w:hint="eastAsia"/>
          <w:color w:val="000000"/>
          <w:sz w:val="28"/>
          <w:szCs w:val="28"/>
        </w:rPr>
        <w:t>日（含）起，调整</w:t>
      </w:r>
      <w:r w:rsidRPr="00A27A60">
        <w:rPr>
          <w:rFonts w:ascii="宋体" w:hAnsi="宋体"/>
          <w:color w:val="000000"/>
          <w:sz w:val="28"/>
          <w:szCs w:val="28"/>
        </w:rPr>
        <w:t>“</w:t>
      </w:r>
      <w:r w:rsidRPr="00A27A60">
        <w:rPr>
          <w:rFonts w:ascii="宋体" w:hAnsi="宋体" w:hint="eastAsia"/>
          <w:color w:val="000000"/>
          <w:sz w:val="28"/>
          <w:szCs w:val="28"/>
        </w:rPr>
        <w:t>乾元</w:t>
      </w:r>
      <w:r w:rsidRPr="00A27A60">
        <w:rPr>
          <w:rFonts w:ascii="宋体" w:hAnsi="宋体"/>
          <w:color w:val="000000"/>
          <w:sz w:val="28"/>
          <w:szCs w:val="28"/>
        </w:rPr>
        <w:t>—</w:t>
      </w:r>
      <w:r w:rsidRPr="00A27A60">
        <w:rPr>
          <w:rFonts w:ascii="宋体" w:hAnsi="宋体" w:hint="eastAsia"/>
          <w:color w:val="000000"/>
          <w:sz w:val="28"/>
          <w:szCs w:val="28"/>
        </w:rPr>
        <w:t>满溢</w:t>
      </w:r>
      <w:r w:rsidRPr="00A27A60">
        <w:rPr>
          <w:rFonts w:ascii="宋体" w:hAnsi="宋体"/>
          <w:color w:val="000000"/>
          <w:sz w:val="28"/>
          <w:szCs w:val="28"/>
        </w:rPr>
        <w:t>”30</w:t>
      </w:r>
      <w:r w:rsidRPr="00A27A60">
        <w:rPr>
          <w:rFonts w:ascii="宋体" w:hAnsi="宋体" w:hint="eastAsia"/>
          <w:color w:val="000000"/>
          <w:sz w:val="28"/>
          <w:szCs w:val="28"/>
        </w:rPr>
        <w:t>天开放式资产组合型人民币理财产品（机构版）客户预期年化收益率，具体如下表：</w:t>
      </w:r>
    </w:p>
    <w:tbl>
      <w:tblPr>
        <w:tblW w:w="5000" w:type="pct"/>
        <w:tblCellMar>
          <w:top w:w="15" w:type="dxa"/>
          <w:left w:w="15" w:type="dxa"/>
          <w:bottom w:w="15" w:type="dxa"/>
          <w:right w:w="15" w:type="dxa"/>
        </w:tblCellMar>
        <w:tblLook w:val="04A0" w:firstRow="1" w:lastRow="0" w:firstColumn="1" w:lastColumn="0" w:noHBand="0" w:noVBand="1"/>
      </w:tblPr>
      <w:tblGrid>
        <w:gridCol w:w="2943"/>
        <w:gridCol w:w="2625"/>
        <w:gridCol w:w="2825"/>
        <w:gridCol w:w="36"/>
      </w:tblGrid>
      <w:tr w:rsidR="00A27A60" w:rsidRPr="00A27A60" w:rsidTr="00A27A60">
        <w:trPr>
          <w:trHeight w:val="576"/>
        </w:trPr>
        <w:tc>
          <w:tcPr>
            <w:tcW w:w="17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7A60" w:rsidRPr="00A27A60" w:rsidRDefault="00A27A60" w:rsidP="00A27A60">
            <w:pPr>
              <w:widowControl/>
              <w:spacing w:before="100" w:beforeAutospacing="1" w:after="100" w:afterAutospacing="1" w:line="460" w:lineRule="atLeast"/>
              <w:jc w:val="center"/>
              <w:rPr>
                <w:rFonts w:ascii="Arial" w:hAnsi="Arial" w:cs="Arial"/>
                <w:color w:val="666666"/>
                <w:kern w:val="0"/>
                <w:sz w:val="18"/>
                <w:szCs w:val="18"/>
              </w:rPr>
            </w:pPr>
            <w:r w:rsidRPr="00A27A60">
              <w:rPr>
                <w:rFonts w:ascii="宋体" w:hAnsi="宋体" w:cs="Arial" w:hint="eastAsia"/>
                <w:b/>
                <w:bCs/>
                <w:color w:val="000000"/>
                <w:kern w:val="0"/>
                <w:sz w:val="18"/>
                <w:szCs w:val="18"/>
              </w:rPr>
              <w:t>档期设置</w:t>
            </w:r>
          </w:p>
        </w:tc>
        <w:tc>
          <w:tcPr>
            <w:tcW w:w="15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7A60" w:rsidRPr="00A27A60" w:rsidRDefault="00A27A60" w:rsidP="00A27A60">
            <w:pPr>
              <w:widowControl/>
              <w:spacing w:before="100" w:beforeAutospacing="1" w:after="100" w:afterAutospacing="1" w:line="460" w:lineRule="atLeast"/>
              <w:jc w:val="center"/>
              <w:rPr>
                <w:rFonts w:ascii="Arial" w:hAnsi="Arial" w:cs="Arial"/>
                <w:color w:val="666666"/>
                <w:kern w:val="0"/>
                <w:sz w:val="18"/>
                <w:szCs w:val="18"/>
              </w:rPr>
            </w:pPr>
            <w:r w:rsidRPr="00A27A60">
              <w:rPr>
                <w:rFonts w:ascii="宋体" w:hAnsi="宋体" w:cs="Arial" w:hint="eastAsia"/>
                <w:b/>
                <w:bCs/>
                <w:color w:val="000000"/>
                <w:kern w:val="0"/>
                <w:sz w:val="18"/>
                <w:szCs w:val="18"/>
              </w:rPr>
              <w:t>客户预期年化收益率（调整前）</w:t>
            </w:r>
          </w:p>
        </w:tc>
        <w:tc>
          <w:tcPr>
            <w:tcW w:w="16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7A60" w:rsidRPr="00A27A60" w:rsidRDefault="00A27A60" w:rsidP="00A27A60">
            <w:pPr>
              <w:widowControl/>
              <w:spacing w:before="100" w:beforeAutospacing="1" w:after="100" w:afterAutospacing="1" w:line="460" w:lineRule="atLeast"/>
              <w:jc w:val="center"/>
              <w:rPr>
                <w:rFonts w:ascii="Arial" w:hAnsi="Arial" w:cs="Arial"/>
                <w:color w:val="666666"/>
                <w:kern w:val="0"/>
                <w:sz w:val="18"/>
                <w:szCs w:val="18"/>
              </w:rPr>
            </w:pPr>
            <w:r w:rsidRPr="00A27A60">
              <w:rPr>
                <w:rFonts w:ascii="宋体" w:hAnsi="宋体" w:cs="Arial" w:hint="eastAsia"/>
                <w:b/>
                <w:bCs/>
                <w:color w:val="000000"/>
                <w:kern w:val="0"/>
                <w:sz w:val="18"/>
                <w:szCs w:val="18"/>
              </w:rPr>
              <w:t>客户预期年化收益率（调整后）</w:t>
            </w:r>
          </w:p>
        </w:tc>
        <w:tc>
          <w:tcPr>
            <w:tcW w:w="6" w:type="dxa"/>
            <w:vAlign w:val="center"/>
            <w:hideMark/>
          </w:tcPr>
          <w:p w:rsidR="00A27A60" w:rsidRPr="00A27A60" w:rsidRDefault="00A27A60" w:rsidP="00A27A60">
            <w:pPr>
              <w:widowControl/>
              <w:spacing w:line="480" w:lineRule="auto"/>
              <w:jc w:val="left"/>
              <w:rPr>
                <w:rFonts w:ascii="Arial" w:hAnsi="Arial" w:cs="Arial"/>
                <w:color w:val="666666"/>
                <w:kern w:val="0"/>
                <w:sz w:val="18"/>
                <w:szCs w:val="18"/>
              </w:rPr>
            </w:pPr>
          </w:p>
        </w:tc>
      </w:tr>
      <w:tr w:rsidR="00A27A60" w:rsidRPr="00A27A60" w:rsidTr="00A27A60">
        <w:trPr>
          <w:trHeight w:val="46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7A60" w:rsidRPr="00A27A60" w:rsidRDefault="00A27A60" w:rsidP="00A27A60">
            <w:pPr>
              <w:widowControl/>
              <w:jc w:val="left"/>
              <w:rPr>
                <w:rFonts w:ascii="Arial" w:hAnsi="Arial" w:cs="Arial"/>
                <w:color w:val="666666"/>
                <w:kern w:val="0"/>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A27A60" w:rsidRPr="00A27A60" w:rsidRDefault="00A27A60" w:rsidP="00A27A60">
            <w:pPr>
              <w:widowControl/>
              <w:jc w:val="left"/>
              <w:rPr>
                <w:rFonts w:ascii="Arial" w:hAnsi="Arial" w:cs="Arial"/>
                <w:color w:val="666666"/>
                <w:kern w:val="0"/>
                <w:sz w:val="18"/>
                <w:szCs w:val="18"/>
              </w:rPr>
            </w:pPr>
          </w:p>
        </w:tc>
        <w:tc>
          <w:tcPr>
            <w:tcW w:w="0" w:type="auto"/>
            <w:vMerge/>
            <w:tcBorders>
              <w:top w:val="single" w:sz="8" w:space="0" w:color="auto"/>
              <w:left w:val="nil"/>
              <w:bottom w:val="single" w:sz="8" w:space="0" w:color="auto"/>
              <w:right w:val="single" w:sz="8" w:space="0" w:color="auto"/>
            </w:tcBorders>
            <w:vAlign w:val="center"/>
            <w:hideMark/>
          </w:tcPr>
          <w:p w:rsidR="00A27A60" w:rsidRPr="00A27A60" w:rsidRDefault="00A27A60" w:rsidP="00A27A60">
            <w:pPr>
              <w:widowControl/>
              <w:jc w:val="left"/>
              <w:rPr>
                <w:rFonts w:ascii="Arial" w:hAnsi="Arial" w:cs="Arial"/>
                <w:color w:val="666666"/>
                <w:kern w:val="0"/>
                <w:sz w:val="18"/>
                <w:szCs w:val="18"/>
              </w:rPr>
            </w:pPr>
          </w:p>
        </w:tc>
        <w:tc>
          <w:tcPr>
            <w:tcW w:w="6" w:type="dxa"/>
            <w:vAlign w:val="center"/>
            <w:hideMark/>
          </w:tcPr>
          <w:p w:rsidR="00A27A60" w:rsidRPr="00A27A60" w:rsidRDefault="00A27A60" w:rsidP="00A27A60">
            <w:pPr>
              <w:widowControl/>
              <w:spacing w:line="480" w:lineRule="auto"/>
              <w:jc w:val="left"/>
              <w:rPr>
                <w:rFonts w:ascii="Arial" w:hAnsi="Arial" w:cs="Arial"/>
                <w:color w:val="666666"/>
                <w:kern w:val="0"/>
                <w:sz w:val="18"/>
                <w:szCs w:val="18"/>
              </w:rPr>
            </w:pPr>
          </w:p>
        </w:tc>
      </w:tr>
      <w:tr w:rsidR="00A27A60" w:rsidRPr="00A27A60" w:rsidTr="00A27A60">
        <w:trPr>
          <w:trHeight w:val="312"/>
        </w:trPr>
        <w:tc>
          <w:tcPr>
            <w:tcW w:w="17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7A60" w:rsidRPr="00A27A60" w:rsidRDefault="00A27A60" w:rsidP="00A27A60">
            <w:pPr>
              <w:widowControl/>
              <w:spacing w:before="100" w:beforeAutospacing="1" w:after="100" w:afterAutospacing="1" w:line="460" w:lineRule="atLeast"/>
              <w:jc w:val="center"/>
              <w:rPr>
                <w:rFonts w:ascii="Arial" w:hAnsi="Arial" w:cs="Arial"/>
                <w:color w:val="666666"/>
                <w:kern w:val="0"/>
                <w:sz w:val="18"/>
                <w:szCs w:val="18"/>
              </w:rPr>
            </w:pPr>
            <w:r w:rsidRPr="00A27A60">
              <w:rPr>
                <w:rFonts w:ascii="Times New Roman" w:hAnsi="Times New Roman"/>
                <w:color w:val="000000"/>
                <w:kern w:val="0"/>
                <w:sz w:val="18"/>
                <w:szCs w:val="18"/>
              </w:rPr>
              <w:t>30</w:t>
            </w:r>
            <w:r w:rsidRPr="00A27A60">
              <w:rPr>
                <w:rFonts w:ascii="宋体" w:hAnsi="宋体" w:cs="Arial" w:hint="eastAsia"/>
                <w:color w:val="000000"/>
                <w:kern w:val="0"/>
                <w:sz w:val="18"/>
                <w:szCs w:val="18"/>
              </w:rPr>
              <w:t>天</w:t>
            </w:r>
          </w:p>
        </w:tc>
        <w:tc>
          <w:tcPr>
            <w:tcW w:w="156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7A60" w:rsidRPr="00A27A60" w:rsidRDefault="00A27A60" w:rsidP="00A27A60">
            <w:pPr>
              <w:widowControl/>
              <w:spacing w:before="100" w:beforeAutospacing="1" w:after="100" w:afterAutospacing="1" w:line="460" w:lineRule="atLeast"/>
              <w:jc w:val="center"/>
              <w:rPr>
                <w:rFonts w:ascii="Arial" w:hAnsi="Arial" w:cs="Arial"/>
                <w:color w:val="666666"/>
                <w:kern w:val="0"/>
                <w:sz w:val="18"/>
                <w:szCs w:val="18"/>
              </w:rPr>
            </w:pPr>
            <w:r w:rsidRPr="00A27A60">
              <w:rPr>
                <w:rFonts w:ascii="Times New Roman" w:hAnsi="Times New Roman"/>
                <w:color w:val="000000"/>
                <w:kern w:val="0"/>
                <w:sz w:val="18"/>
                <w:szCs w:val="18"/>
              </w:rPr>
              <w:t>4.00%</w:t>
            </w:r>
          </w:p>
        </w:tc>
        <w:tc>
          <w:tcPr>
            <w:tcW w:w="16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27A60" w:rsidRPr="00A27A60" w:rsidRDefault="00A27A60" w:rsidP="00A27A60">
            <w:pPr>
              <w:widowControl/>
              <w:spacing w:before="100" w:beforeAutospacing="1" w:after="100" w:afterAutospacing="1" w:line="460" w:lineRule="atLeast"/>
              <w:jc w:val="center"/>
              <w:rPr>
                <w:rFonts w:ascii="Arial" w:hAnsi="Arial" w:cs="Arial"/>
                <w:color w:val="666666"/>
                <w:kern w:val="0"/>
                <w:sz w:val="18"/>
                <w:szCs w:val="18"/>
              </w:rPr>
            </w:pPr>
            <w:r w:rsidRPr="00A27A60">
              <w:rPr>
                <w:rFonts w:ascii="Times New Roman" w:hAnsi="Times New Roman"/>
                <w:color w:val="000000"/>
                <w:kern w:val="0"/>
                <w:sz w:val="18"/>
                <w:szCs w:val="18"/>
              </w:rPr>
              <w:t>4.05%</w:t>
            </w:r>
          </w:p>
        </w:tc>
        <w:tc>
          <w:tcPr>
            <w:tcW w:w="6" w:type="dxa"/>
            <w:vAlign w:val="center"/>
            <w:hideMark/>
          </w:tcPr>
          <w:p w:rsidR="00A27A60" w:rsidRPr="00A27A60" w:rsidRDefault="00A27A60" w:rsidP="00A27A60">
            <w:pPr>
              <w:widowControl/>
              <w:spacing w:line="480" w:lineRule="auto"/>
              <w:jc w:val="left"/>
              <w:rPr>
                <w:rFonts w:ascii="Arial" w:hAnsi="Arial" w:cs="Arial"/>
                <w:color w:val="666666"/>
                <w:kern w:val="0"/>
                <w:sz w:val="18"/>
                <w:szCs w:val="18"/>
              </w:rPr>
            </w:pPr>
          </w:p>
        </w:tc>
      </w:tr>
    </w:tbl>
    <w:p w:rsidR="00A27A60" w:rsidRPr="00A27A60" w:rsidRDefault="00A27A60" w:rsidP="00A27A60">
      <w:pPr>
        <w:ind w:firstLine="420"/>
        <w:rPr>
          <w:rFonts w:ascii="宋体" w:hAnsi="宋体"/>
          <w:color w:val="000000"/>
          <w:sz w:val="28"/>
          <w:szCs w:val="28"/>
        </w:rPr>
      </w:pPr>
      <w:r w:rsidRPr="00A27A60">
        <w:rPr>
          <w:rFonts w:ascii="宋体" w:hAnsi="宋体" w:hint="eastAsia"/>
          <w:color w:val="000000"/>
          <w:sz w:val="28"/>
          <w:szCs w:val="28"/>
        </w:rPr>
        <w:t>新客户预期年化收益率于</w:t>
      </w:r>
      <w:r w:rsidRPr="00A27A60">
        <w:rPr>
          <w:rFonts w:ascii="宋体" w:hAnsi="宋体"/>
          <w:color w:val="000000"/>
          <w:sz w:val="28"/>
          <w:szCs w:val="28"/>
        </w:rPr>
        <w:t>2018</w:t>
      </w:r>
      <w:r w:rsidRPr="00A27A60">
        <w:rPr>
          <w:rFonts w:ascii="宋体" w:hAnsi="宋体" w:hint="eastAsia"/>
          <w:color w:val="000000"/>
          <w:sz w:val="28"/>
          <w:szCs w:val="28"/>
        </w:rPr>
        <w:t>年</w:t>
      </w:r>
      <w:r w:rsidRPr="00A27A60">
        <w:rPr>
          <w:rFonts w:ascii="宋体" w:hAnsi="宋体"/>
          <w:color w:val="000000"/>
          <w:sz w:val="28"/>
          <w:szCs w:val="28"/>
        </w:rPr>
        <w:t>1</w:t>
      </w:r>
      <w:r w:rsidRPr="00A27A60">
        <w:rPr>
          <w:rFonts w:ascii="宋体" w:hAnsi="宋体" w:hint="eastAsia"/>
          <w:color w:val="000000"/>
          <w:sz w:val="28"/>
          <w:szCs w:val="28"/>
        </w:rPr>
        <w:t>月</w:t>
      </w:r>
      <w:r w:rsidRPr="00A27A60">
        <w:rPr>
          <w:rFonts w:ascii="宋体" w:hAnsi="宋体"/>
          <w:color w:val="000000"/>
          <w:sz w:val="28"/>
          <w:szCs w:val="28"/>
        </w:rPr>
        <w:t>22</w:t>
      </w:r>
      <w:r w:rsidRPr="00A27A60">
        <w:rPr>
          <w:rFonts w:ascii="宋体" w:hAnsi="宋体" w:hint="eastAsia"/>
          <w:color w:val="000000"/>
          <w:sz w:val="28"/>
          <w:szCs w:val="28"/>
        </w:rPr>
        <w:t>日（含）起执行。对于</w:t>
      </w:r>
      <w:r w:rsidRPr="00A27A60">
        <w:rPr>
          <w:rFonts w:ascii="宋体" w:hAnsi="宋体"/>
          <w:color w:val="000000"/>
          <w:sz w:val="28"/>
          <w:szCs w:val="28"/>
        </w:rPr>
        <w:t>2018</w:t>
      </w:r>
      <w:r w:rsidRPr="00A27A60">
        <w:rPr>
          <w:rFonts w:ascii="宋体" w:hAnsi="宋体" w:hint="eastAsia"/>
          <w:color w:val="000000"/>
          <w:sz w:val="28"/>
          <w:szCs w:val="28"/>
        </w:rPr>
        <w:t>年</w:t>
      </w:r>
      <w:r w:rsidRPr="00A27A60">
        <w:rPr>
          <w:rFonts w:ascii="宋体" w:hAnsi="宋体"/>
          <w:color w:val="000000"/>
          <w:sz w:val="28"/>
          <w:szCs w:val="28"/>
        </w:rPr>
        <w:t>1</w:t>
      </w:r>
      <w:r w:rsidRPr="00A27A60">
        <w:rPr>
          <w:rFonts w:ascii="宋体" w:hAnsi="宋体" w:hint="eastAsia"/>
          <w:color w:val="000000"/>
          <w:sz w:val="28"/>
          <w:szCs w:val="28"/>
        </w:rPr>
        <w:t>月</w:t>
      </w:r>
      <w:r w:rsidRPr="00A27A60">
        <w:rPr>
          <w:rFonts w:ascii="宋体" w:hAnsi="宋体"/>
          <w:color w:val="000000"/>
          <w:sz w:val="28"/>
          <w:szCs w:val="28"/>
        </w:rPr>
        <w:t>22</w:t>
      </w:r>
      <w:r w:rsidRPr="00A27A60">
        <w:rPr>
          <w:rFonts w:ascii="宋体" w:hAnsi="宋体" w:hint="eastAsia"/>
          <w:color w:val="000000"/>
          <w:sz w:val="28"/>
          <w:szCs w:val="28"/>
        </w:rPr>
        <w:t>日（不含）前已经购买成功且未赎回的存量投资本金，其中封闭期内的份额仍按照购买确认日当日的客户预期年化收益率计算投资收益，非封闭期内的份额从</w:t>
      </w:r>
      <w:r w:rsidRPr="00A27A60">
        <w:rPr>
          <w:rFonts w:ascii="宋体" w:hAnsi="宋体"/>
          <w:color w:val="000000"/>
          <w:sz w:val="28"/>
          <w:szCs w:val="28"/>
        </w:rPr>
        <w:t>2018</w:t>
      </w:r>
      <w:r w:rsidRPr="00A27A60">
        <w:rPr>
          <w:rFonts w:ascii="宋体" w:hAnsi="宋体" w:hint="eastAsia"/>
          <w:color w:val="000000"/>
          <w:sz w:val="28"/>
          <w:szCs w:val="28"/>
        </w:rPr>
        <w:t>年</w:t>
      </w:r>
      <w:r w:rsidRPr="00A27A60">
        <w:rPr>
          <w:rFonts w:ascii="宋体" w:hAnsi="宋体"/>
          <w:color w:val="000000"/>
          <w:sz w:val="28"/>
          <w:szCs w:val="28"/>
        </w:rPr>
        <w:t>1</w:t>
      </w:r>
      <w:r w:rsidRPr="00A27A60">
        <w:rPr>
          <w:rFonts w:ascii="宋体" w:hAnsi="宋体" w:hint="eastAsia"/>
          <w:color w:val="000000"/>
          <w:sz w:val="28"/>
          <w:szCs w:val="28"/>
        </w:rPr>
        <w:t>月</w:t>
      </w:r>
      <w:r w:rsidRPr="00A27A60">
        <w:rPr>
          <w:rFonts w:ascii="宋体" w:hAnsi="宋体"/>
          <w:color w:val="000000"/>
          <w:sz w:val="28"/>
          <w:szCs w:val="28"/>
        </w:rPr>
        <w:t>22</w:t>
      </w:r>
      <w:r w:rsidRPr="00A27A60">
        <w:rPr>
          <w:rFonts w:ascii="宋体" w:hAnsi="宋体" w:hint="eastAsia"/>
          <w:color w:val="000000"/>
          <w:sz w:val="28"/>
          <w:szCs w:val="28"/>
        </w:rPr>
        <w:t>日（含）起按调整后的预期年化收益率计算投资收益。</w:t>
      </w:r>
      <w:r w:rsidRPr="00A27A60">
        <w:rPr>
          <w:rFonts w:ascii="宋体" w:hAnsi="宋体"/>
          <w:color w:val="000000"/>
          <w:sz w:val="28"/>
          <w:szCs w:val="28"/>
        </w:rPr>
        <w:t>2018</w:t>
      </w:r>
      <w:r w:rsidRPr="00A27A60">
        <w:rPr>
          <w:rFonts w:ascii="宋体" w:hAnsi="宋体" w:hint="eastAsia"/>
          <w:color w:val="000000"/>
          <w:sz w:val="28"/>
          <w:szCs w:val="28"/>
        </w:rPr>
        <w:t>年</w:t>
      </w:r>
      <w:r w:rsidRPr="00A27A60">
        <w:rPr>
          <w:rFonts w:ascii="宋体" w:hAnsi="宋体"/>
          <w:color w:val="000000"/>
          <w:sz w:val="28"/>
          <w:szCs w:val="28"/>
        </w:rPr>
        <w:t>1</w:t>
      </w:r>
      <w:r w:rsidRPr="00A27A60">
        <w:rPr>
          <w:rFonts w:ascii="宋体" w:hAnsi="宋体" w:hint="eastAsia"/>
          <w:color w:val="000000"/>
          <w:sz w:val="28"/>
          <w:szCs w:val="28"/>
        </w:rPr>
        <w:t>月</w:t>
      </w:r>
      <w:r w:rsidRPr="00A27A60">
        <w:rPr>
          <w:rFonts w:ascii="宋体" w:hAnsi="宋体"/>
          <w:color w:val="000000"/>
          <w:sz w:val="28"/>
          <w:szCs w:val="28"/>
        </w:rPr>
        <w:t>22</w:t>
      </w:r>
      <w:r w:rsidRPr="00A27A60">
        <w:rPr>
          <w:rFonts w:ascii="宋体" w:hAnsi="宋体" w:hint="eastAsia"/>
          <w:color w:val="000000"/>
          <w:sz w:val="28"/>
          <w:szCs w:val="28"/>
        </w:rPr>
        <w:t>日（含）后购买的部分自动执行调整后的客户预期年化收益率。但前述情形下的最终投资收益均以我行最终支付的实际年化收益率为准。</w:t>
      </w:r>
    </w:p>
    <w:p w:rsidR="00CA3281" w:rsidRPr="00EE774A" w:rsidRDefault="00CA3281" w:rsidP="00CA3281">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CA3281" w:rsidRPr="00EE774A" w:rsidRDefault="00CA3281" w:rsidP="00CA328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CA3281" w:rsidRPr="00EE774A" w:rsidRDefault="00CA3281" w:rsidP="00CA3281">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lastRenderedPageBreak/>
        <w:t>（一）投资组合的基本情况</w:t>
      </w:r>
    </w:p>
    <w:p w:rsidR="00CA3281" w:rsidRPr="00EE774A" w:rsidRDefault="00DA7CFC" w:rsidP="00CA3281">
      <w:pPr>
        <w:jc w:val="center"/>
        <w:rPr>
          <w:rFonts w:ascii="宋体" w:hAnsi="宋体"/>
          <w:color w:val="000000"/>
          <w:sz w:val="28"/>
          <w:szCs w:val="28"/>
        </w:rPr>
      </w:pPr>
      <w:r>
        <w:rPr>
          <w:noProof/>
        </w:rPr>
        <w:drawing>
          <wp:inline distT="0" distB="0" distL="0" distR="0" wp14:anchorId="5F44A2D9" wp14:editId="0FC1F140">
            <wp:extent cx="3743325" cy="1962150"/>
            <wp:effectExtent l="38100" t="0" r="952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3281" w:rsidRPr="00EE774A" w:rsidRDefault="00CA3281" w:rsidP="00CA3281">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CA3281" w:rsidRPr="00EE774A" w:rsidRDefault="00DA7CFC" w:rsidP="00CA3281">
      <w:pPr>
        <w:jc w:val="center"/>
        <w:rPr>
          <w:rFonts w:ascii="宋体" w:hAnsi="宋体"/>
          <w:color w:val="000000"/>
          <w:sz w:val="28"/>
          <w:szCs w:val="28"/>
        </w:rPr>
      </w:pPr>
      <w:r>
        <w:rPr>
          <w:noProof/>
        </w:rPr>
        <w:drawing>
          <wp:inline distT="0" distB="0" distL="0" distR="0" wp14:anchorId="3C4C4E1D" wp14:editId="5EE949AA">
            <wp:extent cx="3857625" cy="2247900"/>
            <wp:effectExtent l="38100" t="0" r="9525"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3281" w:rsidRPr="00EE774A" w:rsidRDefault="00CA3281" w:rsidP="00CA3281">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C75BE9">
        <w:rPr>
          <w:rFonts w:ascii="宋体" w:hAnsi="宋体" w:hint="eastAsia"/>
          <w:b/>
          <w:color w:val="000000"/>
          <w:sz w:val="28"/>
          <w:szCs w:val="28"/>
        </w:rPr>
        <w:t>融资类资产的行业占比构成</w:t>
      </w:r>
      <w:r>
        <w:rPr>
          <w:rFonts w:ascii="宋体" w:hAnsi="宋体" w:hint="eastAsia"/>
          <w:b/>
          <w:color w:val="000000"/>
          <w:sz w:val="28"/>
          <w:szCs w:val="28"/>
        </w:rPr>
        <w:t>及当月增减变化</w:t>
      </w:r>
      <w:r w:rsidRPr="00C75BE9">
        <w:rPr>
          <w:rFonts w:ascii="宋体" w:hAnsi="宋体" w:hint="eastAsia"/>
          <w:b/>
          <w:color w:val="000000"/>
          <w:sz w:val="28"/>
          <w:szCs w:val="28"/>
        </w:rPr>
        <w:t>情况</w:t>
      </w:r>
    </w:p>
    <w:p w:rsidR="00CA3281" w:rsidRPr="005622F6" w:rsidRDefault="00DA7CFC" w:rsidP="00FE2282">
      <w:pPr>
        <w:ind w:right="1400"/>
        <w:jc w:val="center"/>
        <w:rPr>
          <w:rFonts w:ascii="宋体" w:hAnsi="宋体"/>
          <w:color w:val="000000"/>
          <w:sz w:val="28"/>
          <w:szCs w:val="28"/>
        </w:rPr>
      </w:pPr>
      <w:r>
        <w:rPr>
          <w:noProof/>
        </w:rPr>
        <w:drawing>
          <wp:inline distT="0" distB="0" distL="0" distR="0" wp14:anchorId="18499749" wp14:editId="1CB5898D">
            <wp:extent cx="5274310" cy="2775728"/>
            <wp:effectExtent l="0" t="0" r="21590" b="247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3281" w:rsidRPr="00EE774A" w:rsidRDefault="00CA3281" w:rsidP="00CA3281">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CA3281" w:rsidRPr="00EE774A" w:rsidRDefault="00CA3281" w:rsidP="00CA328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lastRenderedPageBreak/>
        <w:t>（1）自本产品成立起至本报告日，产品管理人恪尽职守、勤勉尽责、谨慎管理，忠实履行有关法律、行政法规和相关文件的规定。</w:t>
      </w:r>
    </w:p>
    <w:p w:rsidR="00CA3281" w:rsidRPr="00EE774A" w:rsidRDefault="00CA3281" w:rsidP="00CA328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（2）截至本报告日，所有投资资产正常运营，未发现有异常情况或者不利情况。</w:t>
      </w:r>
    </w:p>
    <w:p w:rsidR="00CA3281" w:rsidRPr="00EE774A" w:rsidRDefault="00CA3281" w:rsidP="00CA3281">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CA3281" w:rsidRPr="00EE774A" w:rsidRDefault="00CA3281" w:rsidP="00CA3281">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CA3281" w:rsidRDefault="00CA3281" w:rsidP="00CD1645">
      <w:pPr>
        <w:spacing w:line="480" w:lineRule="exact"/>
        <w:ind w:right="222" w:firstLineChars="200" w:firstLine="560"/>
        <w:jc w:val="right"/>
        <w:rPr>
          <w:rFonts w:ascii="彩虹粗仿宋" w:eastAsia="彩虹粗仿宋" w:hAnsi="宋体" w:cs="宋体"/>
          <w:color w:val="000000"/>
          <w:kern w:val="0"/>
          <w:szCs w:val="21"/>
        </w:rPr>
      </w:pPr>
      <w:r>
        <w:rPr>
          <w:rFonts w:ascii="宋体" w:hAnsi="宋体" w:hint="eastAsia"/>
          <w:color w:val="000000"/>
          <w:sz w:val="28"/>
          <w:szCs w:val="28"/>
        </w:rPr>
        <w:t>201</w:t>
      </w:r>
      <w:r w:rsidR="00DA7CFC">
        <w:rPr>
          <w:rFonts w:ascii="宋体" w:hAnsi="宋体" w:hint="eastAsia"/>
          <w:color w:val="000000"/>
          <w:sz w:val="28"/>
          <w:szCs w:val="28"/>
        </w:rPr>
        <w:t>8</w:t>
      </w:r>
      <w:r>
        <w:rPr>
          <w:rFonts w:ascii="宋体" w:hAnsi="宋体" w:hint="eastAsia"/>
          <w:color w:val="000000"/>
          <w:sz w:val="28"/>
          <w:szCs w:val="28"/>
        </w:rPr>
        <w:t>年</w:t>
      </w:r>
      <w:r w:rsidR="00FE2282">
        <w:rPr>
          <w:rFonts w:ascii="宋体" w:hAnsi="宋体" w:hint="eastAsia"/>
          <w:color w:val="000000"/>
          <w:sz w:val="28"/>
          <w:szCs w:val="28"/>
        </w:rPr>
        <w:t>2</w:t>
      </w:r>
      <w:r>
        <w:rPr>
          <w:rFonts w:ascii="宋体" w:hAnsi="宋体" w:hint="eastAsia"/>
          <w:color w:val="000000"/>
          <w:sz w:val="28"/>
          <w:szCs w:val="28"/>
        </w:rPr>
        <w:t>月</w:t>
      </w:r>
      <w:r w:rsidR="00533E45">
        <w:rPr>
          <w:rFonts w:ascii="宋体" w:hAnsi="宋体" w:hint="eastAsia"/>
          <w:color w:val="000000"/>
          <w:sz w:val="28"/>
          <w:szCs w:val="28"/>
        </w:rPr>
        <w:t>6</w:t>
      </w:r>
      <w:r>
        <w:rPr>
          <w:rFonts w:ascii="宋体" w:hAnsi="宋体" w:hint="eastAsia"/>
          <w:color w:val="000000"/>
          <w:sz w:val="28"/>
          <w:szCs w:val="28"/>
        </w:rPr>
        <w:t>日</w:t>
      </w:r>
    </w:p>
    <w:p w:rsidR="0066201C" w:rsidRPr="00CA3281" w:rsidRDefault="001A4973"/>
    <w:sectPr w:rsidR="0066201C" w:rsidRPr="00CA32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73" w:rsidRDefault="001A4973" w:rsidP="00CA3281">
      <w:r>
        <w:separator/>
      </w:r>
    </w:p>
  </w:endnote>
  <w:endnote w:type="continuationSeparator" w:id="0">
    <w:p w:rsidR="001A4973" w:rsidRDefault="001A4973" w:rsidP="00CA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73" w:rsidRDefault="001A4973" w:rsidP="00CA3281">
      <w:r>
        <w:separator/>
      </w:r>
    </w:p>
  </w:footnote>
  <w:footnote w:type="continuationSeparator" w:id="0">
    <w:p w:rsidR="001A4973" w:rsidRDefault="001A4973" w:rsidP="00CA3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E8"/>
    <w:rsid w:val="001104AF"/>
    <w:rsid w:val="00153C80"/>
    <w:rsid w:val="001A4973"/>
    <w:rsid w:val="00254C37"/>
    <w:rsid w:val="002D31BD"/>
    <w:rsid w:val="003537DE"/>
    <w:rsid w:val="00533E45"/>
    <w:rsid w:val="00646EE8"/>
    <w:rsid w:val="006F62AC"/>
    <w:rsid w:val="00A27A60"/>
    <w:rsid w:val="00A66F45"/>
    <w:rsid w:val="00AD4A45"/>
    <w:rsid w:val="00CA3281"/>
    <w:rsid w:val="00CD1645"/>
    <w:rsid w:val="00DA7CFC"/>
    <w:rsid w:val="00DE1C0D"/>
    <w:rsid w:val="00EA0EC8"/>
    <w:rsid w:val="00FE2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2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3281"/>
    <w:rPr>
      <w:sz w:val="18"/>
      <w:szCs w:val="18"/>
    </w:rPr>
  </w:style>
  <w:style w:type="paragraph" w:styleId="a4">
    <w:name w:val="footer"/>
    <w:basedOn w:val="a"/>
    <w:link w:val="Char0"/>
    <w:uiPriority w:val="99"/>
    <w:unhideWhenUsed/>
    <w:rsid w:val="00CA32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281"/>
    <w:rPr>
      <w:sz w:val="18"/>
      <w:szCs w:val="18"/>
    </w:rPr>
  </w:style>
  <w:style w:type="paragraph" w:styleId="a5">
    <w:name w:val="Balloon Text"/>
    <w:basedOn w:val="a"/>
    <w:link w:val="Char1"/>
    <w:uiPriority w:val="99"/>
    <w:semiHidden/>
    <w:unhideWhenUsed/>
    <w:rsid w:val="00CA3281"/>
    <w:rPr>
      <w:sz w:val="18"/>
      <w:szCs w:val="18"/>
    </w:rPr>
  </w:style>
  <w:style w:type="character" w:customStyle="1" w:styleId="Char1">
    <w:name w:val="批注框文本 Char"/>
    <w:basedOn w:val="a0"/>
    <w:link w:val="a5"/>
    <w:uiPriority w:val="99"/>
    <w:semiHidden/>
    <w:rsid w:val="00CA3281"/>
    <w:rPr>
      <w:rFonts w:ascii="Calibri" w:eastAsia="宋体" w:hAnsi="Calibri" w:cs="Times New Roman"/>
      <w:sz w:val="18"/>
      <w:szCs w:val="18"/>
    </w:rPr>
  </w:style>
  <w:style w:type="paragraph" w:styleId="a6">
    <w:name w:val="Normal (Web)"/>
    <w:basedOn w:val="a"/>
    <w:uiPriority w:val="99"/>
    <w:unhideWhenUsed/>
    <w:rsid w:val="00A27A60"/>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27A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32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3281"/>
    <w:rPr>
      <w:sz w:val="18"/>
      <w:szCs w:val="18"/>
    </w:rPr>
  </w:style>
  <w:style w:type="paragraph" w:styleId="a4">
    <w:name w:val="footer"/>
    <w:basedOn w:val="a"/>
    <w:link w:val="Char0"/>
    <w:uiPriority w:val="99"/>
    <w:unhideWhenUsed/>
    <w:rsid w:val="00CA32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3281"/>
    <w:rPr>
      <w:sz w:val="18"/>
      <w:szCs w:val="18"/>
    </w:rPr>
  </w:style>
  <w:style w:type="paragraph" w:styleId="a5">
    <w:name w:val="Balloon Text"/>
    <w:basedOn w:val="a"/>
    <w:link w:val="Char1"/>
    <w:uiPriority w:val="99"/>
    <w:semiHidden/>
    <w:unhideWhenUsed/>
    <w:rsid w:val="00CA3281"/>
    <w:rPr>
      <w:sz w:val="18"/>
      <w:szCs w:val="18"/>
    </w:rPr>
  </w:style>
  <w:style w:type="character" w:customStyle="1" w:styleId="Char1">
    <w:name w:val="批注框文本 Char"/>
    <w:basedOn w:val="a0"/>
    <w:link w:val="a5"/>
    <w:uiPriority w:val="99"/>
    <w:semiHidden/>
    <w:rsid w:val="00CA3281"/>
    <w:rPr>
      <w:rFonts w:ascii="Calibri" w:eastAsia="宋体" w:hAnsi="Calibri" w:cs="Times New Roman"/>
      <w:sz w:val="18"/>
      <w:szCs w:val="18"/>
    </w:rPr>
  </w:style>
  <w:style w:type="paragraph" w:styleId="a6">
    <w:name w:val="Normal (Web)"/>
    <w:basedOn w:val="a"/>
    <w:uiPriority w:val="99"/>
    <w:unhideWhenUsed/>
    <w:rsid w:val="00A27A60"/>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A2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800">
      <w:bodyDiv w:val="1"/>
      <w:marLeft w:val="0"/>
      <w:marRight w:val="0"/>
      <w:marTop w:val="0"/>
      <w:marBottom w:val="0"/>
      <w:divBdr>
        <w:top w:val="none" w:sz="0" w:space="0" w:color="auto"/>
        <w:left w:val="none" w:sz="0" w:space="0" w:color="auto"/>
        <w:bottom w:val="none" w:sz="0" w:space="0" w:color="auto"/>
        <w:right w:val="none" w:sz="0" w:space="0" w:color="auto"/>
      </w:divBdr>
    </w:div>
    <w:div w:id="610090173">
      <w:bodyDiv w:val="1"/>
      <w:marLeft w:val="0"/>
      <w:marRight w:val="0"/>
      <w:marTop w:val="0"/>
      <w:marBottom w:val="0"/>
      <w:divBdr>
        <w:top w:val="none" w:sz="0" w:space="0" w:color="auto"/>
        <w:left w:val="none" w:sz="0" w:space="0" w:color="auto"/>
        <w:bottom w:val="none" w:sz="0" w:space="0" w:color="auto"/>
        <w:right w:val="none" w:sz="0" w:space="0" w:color="auto"/>
      </w:divBdr>
    </w:div>
    <w:div w:id="718241561">
      <w:bodyDiv w:val="1"/>
      <w:marLeft w:val="0"/>
      <w:marRight w:val="0"/>
      <w:marTop w:val="0"/>
      <w:marBottom w:val="0"/>
      <w:divBdr>
        <w:top w:val="none" w:sz="0" w:space="0" w:color="auto"/>
        <w:left w:val="none" w:sz="0" w:space="0" w:color="auto"/>
        <w:bottom w:val="none" w:sz="0" w:space="0" w:color="auto"/>
        <w:right w:val="none" w:sz="0" w:space="0" w:color="auto"/>
      </w:divBdr>
    </w:div>
    <w:div w:id="980812730">
      <w:bodyDiv w:val="1"/>
      <w:marLeft w:val="0"/>
      <w:marRight w:val="0"/>
      <w:marTop w:val="0"/>
      <w:marBottom w:val="0"/>
      <w:divBdr>
        <w:top w:val="none" w:sz="0" w:space="0" w:color="auto"/>
        <w:left w:val="none" w:sz="0" w:space="0" w:color="auto"/>
        <w:bottom w:val="none" w:sz="0" w:space="0" w:color="auto"/>
        <w:right w:val="none" w:sz="0" w:space="0" w:color="auto"/>
      </w:divBdr>
      <w:divsChild>
        <w:div w:id="332148557">
          <w:marLeft w:val="0"/>
          <w:marRight w:val="0"/>
          <w:marTop w:val="600"/>
          <w:marBottom w:val="900"/>
          <w:divBdr>
            <w:top w:val="none" w:sz="0" w:space="0" w:color="auto"/>
            <w:left w:val="none" w:sz="0" w:space="0" w:color="auto"/>
            <w:bottom w:val="none" w:sz="0" w:space="0" w:color="auto"/>
            <w:right w:val="none" w:sz="0" w:space="0" w:color="auto"/>
          </w:divBdr>
          <w:divsChild>
            <w:div w:id="452335751">
              <w:marLeft w:val="0"/>
              <w:marRight w:val="0"/>
              <w:marTop w:val="0"/>
              <w:marBottom w:val="0"/>
              <w:divBdr>
                <w:top w:val="none" w:sz="0" w:space="0" w:color="auto"/>
                <w:left w:val="none" w:sz="0" w:space="0" w:color="auto"/>
                <w:bottom w:val="none" w:sz="0" w:space="0" w:color="auto"/>
                <w:right w:val="single" w:sz="6" w:space="30" w:color="EEEEEE"/>
              </w:divBdr>
              <w:divsChild>
                <w:div w:id="13810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0555555555555555E-2"/>
          <c:y val="5.0925925925925923E-2"/>
          <c:w val="0.70837642169728787"/>
          <c:h val="0.89814814814814814"/>
        </c:manualLayout>
      </c:layout>
      <c:pie3DChart>
        <c:varyColors val="1"/>
        <c:ser>
          <c:idx val="0"/>
          <c:order val="0"/>
          <c:dPt>
            <c:idx val="0"/>
            <c:bubble3D val="0"/>
          </c:dPt>
          <c:dPt>
            <c:idx val="1"/>
            <c:bubble3D val="0"/>
          </c:dPt>
          <c:dLbls>
            <c:dLbl>
              <c:idx val="0"/>
              <c:spPr/>
              <c:txPr>
                <a:bodyPr/>
                <a:lstStyle/>
                <a:p>
                  <a:pPr>
                    <a:defRPr/>
                  </a:pPr>
                  <a:endParaRPr lang="zh-CN"/>
                </a:p>
              </c:txPr>
              <c:dLblPos val="bestFit"/>
              <c:showLegendKey val="0"/>
              <c:showVal val="1"/>
              <c:showCatName val="0"/>
              <c:showSerName val="0"/>
              <c:showPercent val="0"/>
              <c:showBubbleSize val="0"/>
            </c:dLbl>
            <c:dLbl>
              <c:idx val="1"/>
              <c:spPr/>
              <c:txPr>
                <a:bodyPr/>
                <a:lstStyle/>
                <a:p>
                  <a:pPr>
                    <a:defRPr/>
                  </a:pPr>
                  <a:endParaRPr lang="zh-CN"/>
                </a:p>
              </c:txPr>
              <c:dLblPos val="bestFit"/>
              <c:showLegendKey val="0"/>
              <c:showVal val="1"/>
              <c:showCatName val="0"/>
              <c:showSerName val="0"/>
              <c:showPercent val="0"/>
              <c:showBubbleSize val="0"/>
            </c:dLbl>
            <c:showLegendKey val="0"/>
            <c:showVal val="0"/>
            <c:showCatName val="0"/>
            <c:showSerName val="0"/>
            <c:showPercent val="0"/>
            <c:showBubbleSize val="0"/>
          </c:dLbls>
          <c:cat>
            <c:strRef>
              <c:f>'2018年1月'!$A$106:$A$107</c:f>
              <c:strCache>
                <c:ptCount val="2"/>
                <c:pt idx="0">
                  <c:v>现金及债券类</c:v>
                </c:pt>
                <c:pt idx="1">
                  <c:v>融资类</c:v>
                </c:pt>
              </c:strCache>
            </c:strRef>
          </c:cat>
          <c:val>
            <c:numRef>
              <c:f>'2018年1月'!$B$106:$B$107</c:f>
              <c:numCache>
                <c:formatCode>0.00%</c:formatCode>
                <c:ptCount val="2"/>
                <c:pt idx="0">
                  <c:v>0.10241319350129421</c:v>
                </c:pt>
                <c:pt idx="1">
                  <c:v>0.89758680649819678</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6872484689413822E-2"/>
          <c:y val="6.25E-2"/>
          <c:w val="0.69399256342957127"/>
          <c:h val="0.82407407407407407"/>
        </c:manualLayout>
      </c:layout>
      <c:pie3DChart>
        <c:varyColors val="1"/>
        <c:ser>
          <c:idx val="0"/>
          <c:order val="0"/>
          <c:dPt>
            <c:idx val="0"/>
            <c:bubble3D val="0"/>
          </c:dPt>
          <c:dPt>
            <c:idx val="1"/>
            <c:bubble3D val="0"/>
          </c:dPt>
          <c:dPt>
            <c:idx val="2"/>
            <c:bubble3D val="0"/>
          </c:dPt>
          <c:dPt>
            <c:idx val="3"/>
            <c:bubble3D val="0"/>
          </c:dPt>
          <c:dPt>
            <c:idx val="4"/>
            <c:bubble3D val="0"/>
          </c:dPt>
          <c:dLbls>
            <c:showLegendKey val="0"/>
            <c:showVal val="1"/>
            <c:showCatName val="0"/>
            <c:showSerName val="0"/>
            <c:showPercent val="0"/>
            <c:showBubbleSize val="0"/>
            <c:showLeaderLines val="1"/>
          </c:dLbls>
          <c:cat>
            <c:strRef>
              <c:f>'2018年1月'!$A$113:$A$117</c:f>
              <c:strCache>
                <c:ptCount val="5"/>
                <c:pt idx="0">
                  <c:v>AA</c:v>
                </c:pt>
                <c:pt idx="1">
                  <c:v>AA-</c:v>
                </c:pt>
                <c:pt idx="2">
                  <c:v>AA+</c:v>
                </c:pt>
                <c:pt idx="3">
                  <c:v>AAA</c:v>
                </c:pt>
                <c:pt idx="4">
                  <c:v>无</c:v>
                </c:pt>
              </c:strCache>
            </c:strRef>
          </c:cat>
          <c:val>
            <c:numRef>
              <c:f>'2018年1月'!$B$113:$B$117</c:f>
              <c:numCache>
                <c:formatCode>0.00%</c:formatCode>
                <c:ptCount val="5"/>
                <c:pt idx="0">
                  <c:v>0.22341430083188241</c:v>
                </c:pt>
                <c:pt idx="1">
                  <c:v>0.30875763078146329</c:v>
                </c:pt>
                <c:pt idx="2">
                  <c:v>0.17671873036088073</c:v>
                </c:pt>
                <c:pt idx="3">
                  <c:v>0.20339325569837216</c:v>
                </c:pt>
                <c:pt idx="4">
                  <c:v>8.7716082327401412E-2</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'2018年1月'!$B$121</c:f>
              <c:strCache>
                <c:ptCount val="1"/>
                <c:pt idx="0">
                  <c:v>1月各行业</c:v>
                </c:pt>
              </c:strCache>
            </c:strRef>
          </c:tx>
          <c:invertIfNegative val="0"/>
          <c:cat>
            <c:strRef>
              <c:f>'2018年1月'!$A$122:$A$127</c:f>
              <c:strCache>
                <c:ptCount val="6"/>
                <c:pt idx="0">
                  <c:v>房地产业（保障房）</c:v>
                </c:pt>
                <c:pt idx="1">
                  <c:v>建筑业</c:v>
                </c:pt>
                <c:pt idx="2">
                  <c:v>交通运输、仓储和邮政业</c:v>
                </c:pt>
                <c:pt idx="3">
                  <c:v>批发和零售业</c:v>
                </c:pt>
                <c:pt idx="4">
                  <c:v>水利、环境和公共设施管理业</c:v>
                </c:pt>
                <c:pt idx="5">
                  <c:v>租赁和商务服务业</c:v>
                </c:pt>
              </c:strCache>
            </c:strRef>
          </c:cat>
          <c:val>
            <c:numRef>
              <c:f>'2018年1月'!$B$122:$B$127</c:f>
              <c:numCache>
                <c:formatCode>0.00%</c:formatCode>
                <c:ptCount val="6"/>
                <c:pt idx="0">
                  <c:v>8.7330875507002706E-2</c:v>
                </c:pt>
                <c:pt idx="1">
                  <c:v>3.6677472339050714E-2</c:v>
                </c:pt>
                <c:pt idx="2">
                  <c:v>0.13337262668745714</c:v>
                </c:pt>
                <c:pt idx="3">
                  <c:v>4.3346103673423571E-2</c:v>
                </c:pt>
                <c:pt idx="4">
                  <c:v>7.6689260345287863E-2</c:v>
                </c:pt>
                <c:pt idx="5">
                  <c:v>0.62258366144777799</c:v>
                </c:pt>
              </c:numCache>
            </c:numRef>
          </c:val>
        </c:ser>
        <c:ser>
          <c:idx val="1"/>
          <c:order val="1"/>
          <c:tx>
            <c:strRef>
              <c:f>'2018年1月'!$C$121</c:f>
              <c:strCache>
                <c:ptCount val="1"/>
                <c:pt idx="0">
                  <c:v>12月各行业</c:v>
                </c:pt>
              </c:strCache>
            </c:strRef>
          </c:tx>
          <c:invertIfNegative val="0"/>
          <c:cat>
            <c:strRef>
              <c:f>'2018年1月'!$A$122:$A$127</c:f>
              <c:strCache>
                <c:ptCount val="6"/>
                <c:pt idx="0">
                  <c:v>房地产业（保障房）</c:v>
                </c:pt>
                <c:pt idx="1">
                  <c:v>建筑业</c:v>
                </c:pt>
                <c:pt idx="2">
                  <c:v>交通运输、仓储和邮政业</c:v>
                </c:pt>
                <c:pt idx="3">
                  <c:v>批发和零售业</c:v>
                </c:pt>
                <c:pt idx="4">
                  <c:v>水利、环境和公共设施管理业</c:v>
                </c:pt>
                <c:pt idx="5">
                  <c:v>租赁和商务服务业</c:v>
                </c:pt>
              </c:strCache>
            </c:strRef>
          </c:cat>
          <c:val>
            <c:numRef>
              <c:f>'2018年1月'!$C$122:$C$127</c:f>
              <c:numCache>
                <c:formatCode>0.00%</c:formatCode>
                <c:ptCount val="6"/>
                <c:pt idx="0">
                  <c:v>7.1932733944967034E-2</c:v>
                </c:pt>
                <c:pt idx="1">
                  <c:v>5.7674622498173747E-2</c:v>
                </c:pt>
                <c:pt idx="2">
                  <c:v>0.11534924499634749</c:v>
                </c:pt>
                <c:pt idx="3">
                  <c:v>7.7448778783261882E-2</c:v>
                </c:pt>
                <c:pt idx="4">
                  <c:v>6.3167443688476002E-2</c:v>
                </c:pt>
                <c:pt idx="5">
                  <c:v>0.61442717608877384</c:v>
                </c:pt>
              </c:numCache>
            </c:numRef>
          </c:val>
        </c:ser>
        <c:ser>
          <c:idx val="2"/>
          <c:order val="2"/>
          <c:tx>
            <c:strRef>
              <c:f>'2018年1月'!$D$121</c:f>
              <c:strCache>
                <c:ptCount val="1"/>
                <c:pt idx="0">
                  <c:v>行业变化</c:v>
                </c:pt>
              </c:strCache>
            </c:strRef>
          </c:tx>
          <c:invertIfNegative val="0"/>
          <c:cat>
            <c:strRef>
              <c:f>'2018年1月'!$A$122:$A$127</c:f>
              <c:strCache>
                <c:ptCount val="6"/>
                <c:pt idx="0">
                  <c:v>房地产业（保障房）</c:v>
                </c:pt>
                <c:pt idx="1">
                  <c:v>建筑业</c:v>
                </c:pt>
                <c:pt idx="2">
                  <c:v>交通运输、仓储和邮政业</c:v>
                </c:pt>
                <c:pt idx="3">
                  <c:v>批发和零售业</c:v>
                </c:pt>
                <c:pt idx="4">
                  <c:v>水利、环境和公共设施管理业</c:v>
                </c:pt>
                <c:pt idx="5">
                  <c:v>租赁和商务服务业</c:v>
                </c:pt>
              </c:strCache>
            </c:strRef>
          </c:cat>
          <c:val>
            <c:numRef>
              <c:f>'2018年1月'!$D$122:$D$127</c:f>
              <c:numCache>
                <c:formatCode>0.00%</c:formatCode>
                <c:ptCount val="6"/>
                <c:pt idx="0">
                  <c:v>1.5398141562035672E-2</c:v>
                </c:pt>
                <c:pt idx="1">
                  <c:v>-2.0997150159123033E-2</c:v>
                </c:pt>
                <c:pt idx="2">
                  <c:v>1.8023381691109647E-2</c:v>
                </c:pt>
                <c:pt idx="3">
                  <c:v>-3.4102675109838311E-2</c:v>
                </c:pt>
                <c:pt idx="4">
                  <c:v>1.3521816656811861E-2</c:v>
                </c:pt>
                <c:pt idx="5">
                  <c:v>8.1564853590041508E-3</c:v>
                </c:pt>
              </c:numCache>
            </c:numRef>
          </c:val>
        </c:ser>
        <c:dLbls>
          <c:showLegendKey val="0"/>
          <c:showVal val="0"/>
          <c:showCatName val="0"/>
          <c:showSerName val="0"/>
          <c:showPercent val="0"/>
          <c:showBubbleSize val="0"/>
        </c:dLbls>
        <c:gapWidth val="150"/>
        <c:axId val="113018368"/>
        <c:axId val="113019904"/>
      </c:barChart>
      <c:catAx>
        <c:axId val="113018368"/>
        <c:scaling>
          <c:orientation val="minMax"/>
        </c:scaling>
        <c:delete val="0"/>
        <c:axPos val="l"/>
        <c:numFmt formatCode="General" sourceLinked="1"/>
        <c:majorTickMark val="out"/>
        <c:minorTickMark val="none"/>
        <c:tickLblPos val="nextTo"/>
        <c:crossAx val="113019904"/>
        <c:crosses val="autoZero"/>
        <c:auto val="1"/>
        <c:lblAlgn val="ctr"/>
        <c:lblOffset val="100"/>
        <c:noMultiLvlLbl val="0"/>
      </c:catAx>
      <c:valAx>
        <c:axId val="113019904"/>
        <c:scaling>
          <c:orientation val="minMax"/>
          <c:max val="0.60000000000000009"/>
          <c:min val="-0.1"/>
        </c:scaling>
        <c:delete val="0"/>
        <c:axPos val="b"/>
        <c:majorGridlines/>
        <c:numFmt formatCode="0%" sourceLinked="0"/>
        <c:majorTickMark val="out"/>
        <c:minorTickMark val="none"/>
        <c:tickLblPos val="nextTo"/>
        <c:crossAx val="113018368"/>
        <c:crosses val="autoZero"/>
        <c:crossBetween val="between"/>
        <c:majorUnit val="0.1"/>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admin</cp:lastModifiedBy>
  <cp:revision>6</cp:revision>
  <dcterms:created xsi:type="dcterms:W3CDTF">2018-02-02T13:59:00Z</dcterms:created>
  <dcterms:modified xsi:type="dcterms:W3CDTF">2018-02-06T02:41:00Z</dcterms:modified>
</cp:coreProperties>
</file>